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36F5" w14:textId="712378B3" w:rsidR="00D12512" w:rsidRDefault="00D12512" w:rsidP="00D12512">
      <w:pPr>
        <w:pStyle w:val="Heading1"/>
      </w:pPr>
      <w:r>
        <w:t xml:space="preserve">Categorical Logic: Translations and Immediate Inferences </w:t>
      </w:r>
    </w:p>
    <w:p w14:paraId="78DA4CA8" w14:textId="71365EF7" w:rsidR="00D12512" w:rsidRPr="00D12512" w:rsidRDefault="00D12512" w:rsidP="00D12512">
      <w:r>
        <w:t>These exercises are taken from Hurley and Watson section 4.7.</w:t>
      </w: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4585"/>
        <w:gridCol w:w="5390"/>
      </w:tblGrid>
      <w:tr w:rsidR="00D12512" w:rsidRPr="00D12512" w14:paraId="07DC127E" w14:textId="77777777" w:rsidTr="00D12512">
        <w:tc>
          <w:tcPr>
            <w:tcW w:w="4585" w:type="dxa"/>
            <w:hideMark/>
          </w:tcPr>
          <w:p w14:paraId="5869B407" w14:textId="77777777" w:rsidR="00D12512" w:rsidRPr="00D12512" w:rsidRDefault="00D12512" w:rsidP="00D12512">
            <w:pPr>
              <w:pStyle w:val="NoSpacing"/>
              <w:rPr>
                <w:b/>
              </w:rPr>
            </w:pPr>
            <w:r w:rsidRPr="00D12512">
              <w:rPr>
                <w:b/>
              </w:rPr>
              <w:t>Key word (to be eliminated)</w:t>
            </w:r>
          </w:p>
        </w:tc>
        <w:tc>
          <w:tcPr>
            <w:tcW w:w="5390" w:type="dxa"/>
            <w:hideMark/>
          </w:tcPr>
          <w:p w14:paraId="3F7F0B2A" w14:textId="77777777" w:rsidR="00D12512" w:rsidRPr="00D12512" w:rsidRDefault="00D12512" w:rsidP="00D12512">
            <w:pPr>
              <w:pStyle w:val="NoSpacing"/>
              <w:rPr>
                <w:b/>
              </w:rPr>
            </w:pPr>
            <w:r w:rsidRPr="00D12512">
              <w:rPr>
                <w:b/>
              </w:rPr>
              <w:t>Translation hint</w:t>
            </w:r>
          </w:p>
        </w:tc>
      </w:tr>
      <w:tr w:rsidR="00D12512" w:rsidRPr="00D12512" w14:paraId="6F8E2264" w14:textId="77777777" w:rsidTr="00D12512">
        <w:tc>
          <w:tcPr>
            <w:tcW w:w="4585" w:type="dxa"/>
            <w:hideMark/>
          </w:tcPr>
          <w:p w14:paraId="20BE2326" w14:textId="77777777" w:rsidR="00D12512" w:rsidRPr="00D12512" w:rsidRDefault="00D12512" w:rsidP="00D12512">
            <w:pPr>
              <w:pStyle w:val="NoSpacing"/>
            </w:pPr>
            <w:r w:rsidRPr="00D12512">
              <w:t>whoever, wherever, always, anyone, never, etc.</w:t>
            </w:r>
          </w:p>
        </w:tc>
        <w:tc>
          <w:tcPr>
            <w:tcW w:w="5390" w:type="dxa"/>
            <w:hideMark/>
          </w:tcPr>
          <w:p w14:paraId="5F3AD870" w14:textId="77777777" w:rsidR="00D12512" w:rsidRPr="00D12512" w:rsidRDefault="00D12512" w:rsidP="00D12512">
            <w:pPr>
              <w:pStyle w:val="NoSpacing"/>
            </w:pPr>
            <w:r w:rsidRPr="00D12512">
              <w:t>use “all” together with people, places, times</w:t>
            </w:r>
          </w:p>
        </w:tc>
      </w:tr>
      <w:tr w:rsidR="00D12512" w:rsidRPr="00D12512" w14:paraId="42A307B3" w14:textId="77777777" w:rsidTr="00D12512">
        <w:tc>
          <w:tcPr>
            <w:tcW w:w="4585" w:type="dxa"/>
            <w:hideMark/>
          </w:tcPr>
          <w:p w14:paraId="3ACA5123" w14:textId="77777777" w:rsidR="00D12512" w:rsidRPr="00D12512" w:rsidRDefault="00D12512" w:rsidP="00D12512">
            <w:pPr>
              <w:pStyle w:val="NoSpacing"/>
            </w:pPr>
            <w:r w:rsidRPr="00D12512">
              <w:t>a few, several, many</w:t>
            </w:r>
          </w:p>
        </w:tc>
        <w:tc>
          <w:tcPr>
            <w:tcW w:w="5390" w:type="dxa"/>
            <w:hideMark/>
          </w:tcPr>
          <w:p w14:paraId="1441FD67" w14:textId="77777777" w:rsidR="00D12512" w:rsidRPr="00D12512" w:rsidRDefault="00D12512" w:rsidP="00D12512">
            <w:pPr>
              <w:pStyle w:val="NoSpacing"/>
            </w:pPr>
            <w:r w:rsidRPr="00D12512">
              <w:t>use “some”</w:t>
            </w:r>
          </w:p>
        </w:tc>
      </w:tr>
      <w:tr w:rsidR="00D12512" w:rsidRPr="00D12512" w14:paraId="152B0AFE" w14:textId="77777777" w:rsidTr="00D12512">
        <w:tc>
          <w:tcPr>
            <w:tcW w:w="4585" w:type="dxa"/>
            <w:hideMark/>
          </w:tcPr>
          <w:p w14:paraId="036B291C" w14:textId="77777777" w:rsidR="00D12512" w:rsidRPr="00D12512" w:rsidRDefault="00D12512" w:rsidP="00D12512">
            <w:pPr>
              <w:pStyle w:val="NoSpacing"/>
            </w:pPr>
            <w:r w:rsidRPr="00D12512">
              <w:t>if … then</w:t>
            </w:r>
          </w:p>
        </w:tc>
        <w:tc>
          <w:tcPr>
            <w:tcW w:w="5390" w:type="dxa"/>
            <w:hideMark/>
          </w:tcPr>
          <w:p w14:paraId="55B4D3B8" w14:textId="77777777" w:rsidR="00D12512" w:rsidRPr="00D12512" w:rsidRDefault="00D12512" w:rsidP="00D12512">
            <w:pPr>
              <w:pStyle w:val="NoSpacing"/>
            </w:pPr>
            <w:r w:rsidRPr="00D12512">
              <w:t>use “all” or “no”</w:t>
            </w:r>
          </w:p>
        </w:tc>
      </w:tr>
      <w:tr w:rsidR="00D12512" w:rsidRPr="00D12512" w14:paraId="71E932C3" w14:textId="77777777" w:rsidTr="00D12512">
        <w:tc>
          <w:tcPr>
            <w:tcW w:w="4585" w:type="dxa"/>
            <w:hideMark/>
          </w:tcPr>
          <w:p w14:paraId="2F518140" w14:textId="77777777" w:rsidR="00D12512" w:rsidRPr="00D12512" w:rsidRDefault="00D12512" w:rsidP="00D12512">
            <w:pPr>
              <w:pStyle w:val="NoSpacing"/>
            </w:pPr>
            <w:r w:rsidRPr="00D12512">
              <w:t>unless</w:t>
            </w:r>
          </w:p>
        </w:tc>
        <w:tc>
          <w:tcPr>
            <w:tcW w:w="5390" w:type="dxa"/>
            <w:hideMark/>
          </w:tcPr>
          <w:p w14:paraId="560DFE7F" w14:textId="77777777" w:rsidR="00D12512" w:rsidRPr="00D12512" w:rsidRDefault="00D12512" w:rsidP="00D12512">
            <w:pPr>
              <w:pStyle w:val="NoSpacing"/>
            </w:pPr>
            <w:r w:rsidRPr="00D12512">
              <w:t>use “if not”</w:t>
            </w:r>
          </w:p>
        </w:tc>
      </w:tr>
      <w:tr w:rsidR="00D12512" w:rsidRPr="00D12512" w14:paraId="720980B7" w14:textId="77777777" w:rsidTr="00D12512">
        <w:tc>
          <w:tcPr>
            <w:tcW w:w="4585" w:type="dxa"/>
            <w:hideMark/>
          </w:tcPr>
          <w:p w14:paraId="1A4D60DF" w14:textId="77777777" w:rsidR="00D12512" w:rsidRPr="00D12512" w:rsidRDefault="00D12512" w:rsidP="00D12512">
            <w:pPr>
              <w:pStyle w:val="NoSpacing"/>
            </w:pPr>
            <w:r w:rsidRPr="00D12512">
              <w:t>only, none but, none except, no … except</w:t>
            </w:r>
          </w:p>
        </w:tc>
        <w:tc>
          <w:tcPr>
            <w:tcW w:w="5390" w:type="dxa"/>
            <w:hideMark/>
          </w:tcPr>
          <w:p w14:paraId="3CF7306C" w14:textId="77777777" w:rsidR="00D12512" w:rsidRPr="00D12512" w:rsidRDefault="00D12512" w:rsidP="00D12512">
            <w:pPr>
              <w:pStyle w:val="NoSpacing"/>
            </w:pPr>
            <w:r w:rsidRPr="00D12512">
              <w:t>use “all”</w:t>
            </w:r>
          </w:p>
        </w:tc>
      </w:tr>
      <w:tr w:rsidR="00D12512" w:rsidRPr="00D12512" w14:paraId="21BF7BB9" w14:textId="77777777" w:rsidTr="00D12512">
        <w:tc>
          <w:tcPr>
            <w:tcW w:w="4585" w:type="dxa"/>
            <w:hideMark/>
          </w:tcPr>
          <w:p w14:paraId="719BD261" w14:textId="77777777" w:rsidR="00D12512" w:rsidRPr="00D12512" w:rsidRDefault="00D12512" w:rsidP="00D12512">
            <w:pPr>
              <w:pStyle w:val="NoSpacing"/>
            </w:pPr>
            <w:r w:rsidRPr="00D12512">
              <w:t>the only</w:t>
            </w:r>
          </w:p>
        </w:tc>
        <w:tc>
          <w:tcPr>
            <w:tcW w:w="5390" w:type="dxa"/>
            <w:hideMark/>
          </w:tcPr>
          <w:p w14:paraId="760465BA" w14:textId="77777777" w:rsidR="00D12512" w:rsidRPr="00D12512" w:rsidRDefault="00D12512" w:rsidP="00D12512">
            <w:pPr>
              <w:pStyle w:val="NoSpacing"/>
            </w:pPr>
            <w:r w:rsidRPr="00D12512">
              <w:t>use “all”</w:t>
            </w:r>
          </w:p>
        </w:tc>
      </w:tr>
      <w:tr w:rsidR="00D12512" w:rsidRPr="00D12512" w14:paraId="7DFD421B" w14:textId="77777777" w:rsidTr="00D12512">
        <w:tc>
          <w:tcPr>
            <w:tcW w:w="4585" w:type="dxa"/>
            <w:hideMark/>
          </w:tcPr>
          <w:p w14:paraId="49FA2905" w14:textId="77777777" w:rsidR="00D12512" w:rsidRPr="00D12512" w:rsidRDefault="00D12512" w:rsidP="00D12512">
            <w:pPr>
              <w:pStyle w:val="NoSpacing"/>
            </w:pPr>
            <w:r w:rsidRPr="00D12512">
              <w:t>all but, all except, few</w:t>
            </w:r>
          </w:p>
        </w:tc>
        <w:tc>
          <w:tcPr>
            <w:tcW w:w="5390" w:type="dxa"/>
            <w:hideMark/>
          </w:tcPr>
          <w:p w14:paraId="512B1CD0" w14:textId="77777777" w:rsidR="00D12512" w:rsidRPr="00D12512" w:rsidRDefault="00D12512" w:rsidP="00D12512">
            <w:pPr>
              <w:pStyle w:val="NoSpacing"/>
            </w:pPr>
            <w:r w:rsidRPr="00D12512">
              <w:t>two statements required</w:t>
            </w:r>
          </w:p>
        </w:tc>
      </w:tr>
      <w:tr w:rsidR="00D12512" w:rsidRPr="00D12512" w14:paraId="17AEF9D6" w14:textId="77777777" w:rsidTr="00D12512">
        <w:tc>
          <w:tcPr>
            <w:tcW w:w="4585" w:type="dxa"/>
            <w:hideMark/>
          </w:tcPr>
          <w:p w14:paraId="77DE113F" w14:textId="77777777" w:rsidR="00D12512" w:rsidRPr="00D12512" w:rsidRDefault="00D12512" w:rsidP="00D12512">
            <w:pPr>
              <w:pStyle w:val="NoSpacing"/>
            </w:pPr>
            <w:r w:rsidRPr="00D12512">
              <w:t>not every, not all</w:t>
            </w:r>
          </w:p>
        </w:tc>
        <w:tc>
          <w:tcPr>
            <w:tcW w:w="5390" w:type="dxa"/>
            <w:hideMark/>
          </w:tcPr>
          <w:p w14:paraId="061967C7" w14:textId="77777777" w:rsidR="00D12512" w:rsidRPr="00D12512" w:rsidRDefault="00D12512" w:rsidP="00D12512">
            <w:pPr>
              <w:pStyle w:val="NoSpacing"/>
            </w:pPr>
            <w:r w:rsidRPr="00D12512">
              <w:t>use “some … are not”</w:t>
            </w:r>
          </w:p>
        </w:tc>
      </w:tr>
      <w:tr w:rsidR="00D12512" w:rsidRPr="00D12512" w14:paraId="6E2BEE2D" w14:textId="77777777" w:rsidTr="00D12512">
        <w:tc>
          <w:tcPr>
            <w:tcW w:w="4585" w:type="dxa"/>
            <w:hideMark/>
          </w:tcPr>
          <w:p w14:paraId="2EB35797" w14:textId="77777777" w:rsidR="00D12512" w:rsidRPr="00D12512" w:rsidRDefault="00D12512" w:rsidP="00D12512">
            <w:pPr>
              <w:pStyle w:val="NoSpacing"/>
            </w:pPr>
            <w:r w:rsidRPr="00D12512">
              <w:t>there is, there are</w:t>
            </w:r>
          </w:p>
        </w:tc>
        <w:tc>
          <w:tcPr>
            <w:tcW w:w="5390" w:type="dxa"/>
            <w:hideMark/>
          </w:tcPr>
          <w:p w14:paraId="3622BFFC" w14:textId="77777777" w:rsidR="00D12512" w:rsidRPr="00D12512" w:rsidRDefault="00D12512" w:rsidP="00D12512">
            <w:pPr>
              <w:pStyle w:val="NoSpacing"/>
            </w:pPr>
            <w:r w:rsidRPr="00D12512">
              <w:t>use “some”</w:t>
            </w:r>
          </w:p>
        </w:tc>
      </w:tr>
    </w:tbl>
    <w:p w14:paraId="11780BBC" w14:textId="622F82CF" w:rsidR="00D12512" w:rsidRDefault="00D12512" w:rsidP="00D12512">
      <w:r>
        <w:t>Translate each statement in the following arguments into a standard form categorical statement. Then, use what you have learned about Venn Diagrams, the square of opposition, immediate inferences, etc. to evaluate the validity of the inferences.</w:t>
      </w:r>
    </w:p>
    <w:p w14:paraId="091ACB95" w14:textId="515680BD" w:rsidR="00D12512" w:rsidRDefault="00D12512" w:rsidP="00D12512">
      <w:pPr>
        <w:pStyle w:val="ListParagraph"/>
        <w:numPr>
          <w:ilvl w:val="0"/>
          <w:numId w:val="3"/>
        </w:numPr>
      </w:pPr>
      <w:r w:rsidRPr="00D12512">
        <w:t>Flu vaccines are never completely effective.</w:t>
      </w:r>
      <w:r>
        <w:t xml:space="preserve"> </w:t>
      </w:r>
      <w:r w:rsidRPr="00D12512">
        <w:t>Therefore, not every flu vaccine is completely effective.</w:t>
      </w:r>
    </w:p>
    <w:p w14:paraId="7E95BC15" w14:textId="509778FB" w:rsidR="00D12512" w:rsidRPr="00D12512" w:rsidRDefault="00D12512" w:rsidP="00D12512">
      <w:pPr>
        <w:pStyle w:val="ListParagraph"/>
        <w:numPr>
          <w:ilvl w:val="1"/>
          <w:numId w:val="3"/>
        </w:numPr>
      </w:pPr>
      <w:r w:rsidRPr="00D12512">
        <w:rPr>
          <w:b/>
        </w:rPr>
        <w:t xml:space="preserve">Answer: </w:t>
      </w:r>
      <w:r w:rsidRPr="00D12512">
        <w:rPr>
          <w:b/>
        </w:rPr>
        <w:t>No flu vaccines are completely effective medicines. Therefore, some flu vaccines are not completely effective medicines. (valid)</w:t>
      </w:r>
    </w:p>
    <w:p w14:paraId="5413370D" w14:textId="3826C63A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Only diamonds are a girl’s best friend.</w:t>
      </w:r>
      <w:r>
        <w:t xml:space="preserve"> </w:t>
      </w:r>
      <w:r w:rsidRPr="00D12512">
        <w:t>Therefore, every diamond is a girl’s best friend.</w:t>
      </w:r>
    </w:p>
    <w:p w14:paraId="312E842B" w14:textId="0B57E4A1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A child destined to succeed in life has high self-esteem.</w:t>
      </w:r>
      <w:r>
        <w:t xml:space="preserve"> </w:t>
      </w:r>
      <w:r w:rsidRPr="00D12512">
        <w:t>Therefore, a child with low self-esteem is not destined to succeed in life.</w:t>
      </w:r>
    </w:p>
    <w:p w14:paraId="60912037" w14:textId="77777777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If a date is a good dinner companion, then she does not spend every minute texting. Therefore, if a date does not spend every minute texting, then she is not a bad dinner companion.</w:t>
      </w:r>
    </w:p>
    <w:p w14:paraId="5532C729" w14:textId="55C44363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There are banks that engage in money laundering.</w:t>
      </w:r>
      <w:r>
        <w:t xml:space="preserve"> </w:t>
      </w:r>
      <w:r w:rsidRPr="00D12512">
        <w:t>Therefore, there are banks that do not engage in money laundering.</w:t>
      </w:r>
    </w:p>
    <w:p w14:paraId="21131A5D" w14:textId="6DD9B960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Not a single major storm fails to cause flight cancellations.</w:t>
      </w:r>
      <w:r>
        <w:t xml:space="preserve"> </w:t>
      </w:r>
      <w:r w:rsidRPr="00D12512">
        <w:t xml:space="preserve">Therefore, every major storm </w:t>
      </w:r>
      <w:proofErr w:type="gramStart"/>
      <w:r w:rsidRPr="00D12512">
        <w:t>causes</w:t>
      </w:r>
      <w:proofErr w:type="gramEnd"/>
      <w:r w:rsidRPr="00D12512">
        <w:t xml:space="preserve"> flight cancellations.</w:t>
      </w:r>
    </w:p>
    <w:p w14:paraId="61A2EBF0" w14:textId="3626FD46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Tax cuts never please everyone.</w:t>
      </w:r>
      <w:r>
        <w:t xml:space="preserve"> </w:t>
      </w:r>
      <w:r w:rsidRPr="00D12512">
        <w:t>Therefore, every tax cut pleases everyone.</w:t>
      </w:r>
    </w:p>
    <w:p w14:paraId="1CC4F817" w14:textId="5F55BE84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Military exercises are sometimes condemned by opponents.</w:t>
      </w:r>
      <w:r>
        <w:t xml:space="preserve"> </w:t>
      </w:r>
      <w:r w:rsidRPr="00D12512">
        <w:t>Therefore, any military exercise is condemned by opponents.</w:t>
      </w:r>
    </w:p>
    <w:p w14:paraId="61D64890" w14:textId="3831339D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It is false that not a single charter school is an academic underperformer.</w:t>
      </w:r>
      <w:r>
        <w:t xml:space="preserve"> </w:t>
      </w:r>
      <w:r w:rsidRPr="00D12512">
        <w:t>Therefore, several charter schools are academic underperformers.</w:t>
      </w:r>
    </w:p>
    <w:p w14:paraId="522946FE" w14:textId="35ACDC4D" w:rsidR="00D12512" w:rsidRPr="00D12512" w:rsidRDefault="00D12512" w:rsidP="00D12512">
      <w:pPr>
        <w:pStyle w:val="ListParagraph"/>
        <w:numPr>
          <w:ilvl w:val="0"/>
          <w:numId w:val="3"/>
        </w:numPr>
      </w:pPr>
      <w:r w:rsidRPr="00D12512">
        <w:t>Fake artworks are sold on eBay.</w:t>
      </w:r>
      <w:r>
        <w:t xml:space="preserve"> </w:t>
      </w:r>
      <w:r w:rsidRPr="00D12512">
        <w:t>Therefore, a few items sold on eBay are fake artworks.</w:t>
      </w:r>
    </w:p>
    <w:p w14:paraId="02A19A27" w14:textId="43C88164" w:rsidR="001F7A7F" w:rsidRDefault="001F7A7F" w:rsidP="001F7A7F">
      <w:r>
        <w:t>C</w:t>
      </w:r>
      <w:r>
        <w:t xml:space="preserve">reate a total of </w:t>
      </w:r>
      <w:r w:rsidR="002D6682">
        <w:t>twelve</w:t>
      </w:r>
      <w:r>
        <w:t xml:space="preserve"> new categorical propositions</w:t>
      </w:r>
      <w:r>
        <w:t xml:space="preserve"> that are NOT in standard form </w:t>
      </w:r>
      <w:r>
        <w:t>that may be described as follows</w:t>
      </w:r>
      <w:r>
        <w:t>. After you’ve done this, translate the propositions you have created into standard form categorical statements.</w:t>
      </w:r>
    </w:p>
    <w:p w14:paraId="743E606F" w14:textId="35E01CA1" w:rsidR="001F7A7F" w:rsidRDefault="001F7A7F" w:rsidP="001F7A7F">
      <w:pPr>
        <w:pStyle w:val="ListParagraph"/>
        <w:numPr>
          <w:ilvl w:val="0"/>
          <w:numId w:val="4"/>
        </w:numPr>
      </w:pPr>
      <w:r>
        <w:t xml:space="preserve">One </w:t>
      </w:r>
      <w:r>
        <w:t>that lacks a predicate noun phrase.</w:t>
      </w:r>
    </w:p>
    <w:p w14:paraId="71B70E46" w14:textId="085E5B5F" w:rsidR="001F7A7F" w:rsidRDefault="001F7A7F" w:rsidP="001F7A7F">
      <w:pPr>
        <w:pStyle w:val="ListParagraph"/>
        <w:numPr>
          <w:ilvl w:val="1"/>
          <w:numId w:val="4"/>
        </w:numPr>
      </w:pPr>
      <w:r>
        <w:rPr>
          <w:b/>
        </w:rPr>
        <w:t>Example: “Jack ran.” Translation: “All people identical to Jack are people who ran.”</w:t>
      </w:r>
    </w:p>
    <w:p w14:paraId="4C96891E" w14:textId="26E40A74" w:rsidR="001F7A7F" w:rsidRDefault="001F7A7F" w:rsidP="001F7A7F">
      <w:pPr>
        <w:pStyle w:val="ListParagraph"/>
        <w:numPr>
          <w:ilvl w:val="0"/>
          <w:numId w:val="4"/>
        </w:numPr>
      </w:pPr>
      <w:r>
        <w:t>One contains the nonstandard verb “will.”</w:t>
      </w:r>
    </w:p>
    <w:p w14:paraId="1571CDCC" w14:textId="5513DEFE" w:rsidR="001F7A7F" w:rsidRDefault="001F7A7F" w:rsidP="001F7A7F">
      <w:pPr>
        <w:pStyle w:val="ListParagraph"/>
        <w:numPr>
          <w:ilvl w:val="1"/>
          <w:numId w:val="4"/>
        </w:numPr>
      </w:pPr>
      <w:r>
        <w:rPr>
          <w:b/>
        </w:rPr>
        <w:t>Example: “No one will be coming to my party on time.” Translation: “No people are people who will be coming to my party on time.”</w:t>
      </w:r>
    </w:p>
    <w:p w14:paraId="0075067B" w14:textId="77777777" w:rsidR="001F7A7F" w:rsidRDefault="001F7A7F" w:rsidP="001F7A7F">
      <w:pPr>
        <w:pStyle w:val="ListParagraph"/>
        <w:numPr>
          <w:ilvl w:val="0"/>
          <w:numId w:val="4"/>
        </w:numPr>
      </w:pPr>
      <w:r>
        <w:t>One begins with the name “Margie.”</w:t>
      </w:r>
    </w:p>
    <w:p w14:paraId="5170130A" w14:textId="77777777" w:rsidR="001F7A7F" w:rsidRDefault="001F7A7F" w:rsidP="001F7A7F">
      <w:pPr>
        <w:pStyle w:val="ListParagraph"/>
        <w:numPr>
          <w:ilvl w:val="0"/>
          <w:numId w:val="4"/>
        </w:numPr>
      </w:pPr>
      <w:r>
        <w:t>One contains the adverb “never.”</w:t>
      </w:r>
    </w:p>
    <w:p w14:paraId="6CF45F21" w14:textId="77777777" w:rsidR="001F7A7F" w:rsidRDefault="001F7A7F" w:rsidP="001F7A7F">
      <w:pPr>
        <w:pStyle w:val="ListParagraph"/>
        <w:numPr>
          <w:ilvl w:val="0"/>
          <w:numId w:val="4"/>
        </w:numPr>
      </w:pPr>
      <w:r>
        <w:t>One contains the pronoun “whoever.”</w:t>
      </w:r>
    </w:p>
    <w:p w14:paraId="6CE0A016" w14:textId="6C168B82" w:rsidR="001F7A7F" w:rsidRDefault="001F7A7F" w:rsidP="001F7A7F">
      <w:pPr>
        <w:pStyle w:val="ListParagraph"/>
        <w:numPr>
          <w:ilvl w:val="0"/>
          <w:numId w:val="4"/>
        </w:numPr>
      </w:pPr>
      <w:r>
        <w:t>One contains an unexpressed quantifier</w:t>
      </w:r>
      <w:r>
        <w:t xml:space="preserve"> (i.e., it doesn’t say explicitly whether it is making a claim about some or </w:t>
      </w:r>
      <w:proofErr w:type="gramStart"/>
      <w:r>
        <w:t>all of</w:t>
      </w:r>
      <w:proofErr w:type="gramEnd"/>
      <w:r>
        <w:t xml:space="preserve"> subject class.).</w:t>
      </w:r>
    </w:p>
    <w:p w14:paraId="0BBA6374" w14:textId="3101213E" w:rsidR="001F7A7F" w:rsidRDefault="001F7A7F" w:rsidP="001F7A7F">
      <w:pPr>
        <w:pStyle w:val="ListParagraph"/>
        <w:numPr>
          <w:ilvl w:val="0"/>
          <w:numId w:val="4"/>
        </w:numPr>
      </w:pPr>
      <w:r>
        <w:t>One begins with the words “</w:t>
      </w:r>
      <w:r>
        <w:t>N</w:t>
      </w:r>
      <w:r>
        <w:t>ot everyone.”</w:t>
      </w:r>
    </w:p>
    <w:p w14:paraId="1803D911" w14:textId="519AD687" w:rsidR="001F7A7F" w:rsidRDefault="001F7A7F" w:rsidP="001F7A7F">
      <w:pPr>
        <w:pStyle w:val="ListParagraph"/>
        <w:numPr>
          <w:ilvl w:val="0"/>
          <w:numId w:val="4"/>
        </w:numPr>
      </w:pPr>
      <w:r>
        <w:t>O</w:t>
      </w:r>
      <w:r>
        <w:t>n</w:t>
      </w:r>
      <w:r>
        <w:t>e begins with the word “</w:t>
      </w:r>
      <w:r>
        <w:t>F</w:t>
      </w:r>
      <w:r>
        <w:t>ew.”</w:t>
      </w:r>
    </w:p>
    <w:p w14:paraId="50789BE8" w14:textId="6EC8D698" w:rsidR="001F7A7F" w:rsidRDefault="001F7A7F" w:rsidP="001F7A7F">
      <w:pPr>
        <w:pStyle w:val="ListParagraph"/>
        <w:numPr>
          <w:ilvl w:val="0"/>
          <w:numId w:val="4"/>
        </w:numPr>
      </w:pPr>
      <w:r>
        <w:t>One begins with the words “</w:t>
      </w:r>
      <w:r>
        <w:t>A</w:t>
      </w:r>
      <w:r>
        <w:t xml:space="preserve"> few.”</w:t>
      </w:r>
    </w:p>
    <w:p w14:paraId="076C58AB" w14:textId="77777777" w:rsidR="002D6682" w:rsidRDefault="001F7A7F" w:rsidP="002D6682">
      <w:pPr>
        <w:pStyle w:val="ListParagraph"/>
        <w:numPr>
          <w:ilvl w:val="0"/>
          <w:numId w:val="4"/>
        </w:numPr>
      </w:pPr>
      <w:r>
        <w:t>One is a conditional (if … then) statement.</w:t>
      </w:r>
      <w:r w:rsidR="002D6682" w:rsidRPr="002D6682">
        <w:t xml:space="preserve"> </w:t>
      </w:r>
    </w:p>
    <w:p w14:paraId="745DEF4D" w14:textId="2441B292" w:rsidR="002D6682" w:rsidRDefault="002D6682" w:rsidP="002D6682">
      <w:pPr>
        <w:pStyle w:val="ListParagraph"/>
        <w:numPr>
          <w:ilvl w:val="0"/>
          <w:numId w:val="4"/>
        </w:numPr>
      </w:pPr>
      <w:r>
        <w:t>One contains the word “unless.”</w:t>
      </w:r>
    </w:p>
    <w:p w14:paraId="3F5B4F48" w14:textId="12624408" w:rsidR="00D12512" w:rsidRPr="00D12512" w:rsidRDefault="002D6682" w:rsidP="002D6682">
      <w:pPr>
        <w:pStyle w:val="ListParagraph"/>
        <w:numPr>
          <w:ilvl w:val="0"/>
          <w:numId w:val="4"/>
        </w:numPr>
      </w:pPr>
      <w:r>
        <w:t>One begins with the word “</w:t>
      </w:r>
      <w:r>
        <w:t>O</w:t>
      </w:r>
      <w:bookmarkStart w:id="0" w:name="_GoBack"/>
      <w:bookmarkEnd w:id="0"/>
      <w:r>
        <w:t>nly.”</w:t>
      </w:r>
    </w:p>
    <w:sectPr w:rsidR="00D12512" w:rsidRPr="00D12512" w:rsidSect="00D125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2AA"/>
    <w:multiLevelType w:val="hybridMultilevel"/>
    <w:tmpl w:val="80EA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87E"/>
    <w:multiLevelType w:val="hybridMultilevel"/>
    <w:tmpl w:val="E7F2D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25D"/>
    <w:multiLevelType w:val="hybridMultilevel"/>
    <w:tmpl w:val="B7BC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B5CAF"/>
    <w:multiLevelType w:val="multilevel"/>
    <w:tmpl w:val="E6726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2"/>
    <w:rsid w:val="001F7A7F"/>
    <w:rsid w:val="002229B2"/>
    <w:rsid w:val="002D6682"/>
    <w:rsid w:val="00675B2B"/>
    <w:rsid w:val="00CF06E2"/>
    <w:rsid w:val="00D1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587F"/>
  <w15:chartTrackingRefBased/>
  <w15:docId w15:val="{AA255A34-A207-4E89-B6A2-A1CACC56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512"/>
  </w:style>
  <w:style w:type="paragraph" w:styleId="Heading1">
    <w:name w:val="heading 1"/>
    <w:basedOn w:val="Normal"/>
    <w:next w:val="Normal"/>
    <w:link w:val="Heading1Char"/>
    <w:uiPriority w:val="9"/>
    <w:qFormat/>
    <w:rsid w:val="00D1251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51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51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51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51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51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51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5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5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1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51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51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51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51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51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51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5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5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51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251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51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5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125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12512"/>
    <w:rPr>
      <w:b/>
      <w:bCs/>
    </w:rPr>
  </w:style>
  <w:style w:type="character" w:styleId="Emphasis">
    <w:name w:val="Emphasis"/>
    <w:uiPriority w:val="20"/>
    <w:qFormat/>
    <w:rsid w:val="00D1251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125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25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25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51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51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1251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1251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1251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1251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125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512"/>
    <w:pPr>
      <w:outlineLvl w:val="9"/>
    </w:pPr>
  </w:style>
  <w:style w:type="paragraph" w:styleId="ListParagraph">
    <w:name w:val="List Paragraph"/>
    <w:basedOn w:val="Normal"/>
    <w:uiPriority w:val="34"/>
    <w:qFormat/>
    <w:rsid w:val="00D12512"/>
    <w:pPr>
      <w:ind w:left="720"/>
      <w:contextualSpacing/>
    </w:pPr>
  </w:style>
  <w:style w:type="table" w:styleId="TableGrid">
    <w:name w:val="Table Grid"/>
    <w:basedOn w:val="TableNormal"/>
    <w:uiPriority w:val="39"/>
    <w:rsid w:val="00D125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49207719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929805369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  <w:div w:id="9913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2206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20807675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51279613">
          <w:marLeft w:val="0"/>
          <w:marRight w:val="0"/>
          <w:marTop w:val="0"/>
          <w:marBottom w:val="12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Shea, Brendan P</dc:creator>
  <cp:keywords/>
  <dc:description/>
  <cp:lastModifiedBy>Shea, Brendan P</cp:lastModifiedBy>
  <cp:revision>2</cp:revision>
  <dcterms:created xsi:type="dcterms:W3CDTF">2019-03-18T13:50:00Z</dcterms:created>
  <dcterms:modified xsi:type="dcterms:W3CDTF">2019-03-18T14:12:00Z</dcterms:modified>
</cp:coreProperties>
</file>