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464D3" w14:textId="5F77D63E" w:rsidR="00543782" w:rsidRDefault="00543782" w:rsidP="00543782">
      <w:pPr>
        <w:autoSpaceDE w:val="0"/>
        <w:autoSpaceDN w:val="0"/>
        <w:adjustRightInd w:val="0"/>
        <w:spacing w:after="0"/>
        <w:rPr>
          <w:color w:val="231F20"/>
        </w:rPr>
      </w:pPr>
    </w:p>
    <w:p w14:paraId="5F4D0618" w14:textId="77777777" w:rsidR="00543782" w:rsidRDefault="00543782" w:rsidP="00543782">
      <w:pPr>
        <w:autoSpaceDE w:val="0"/>
        <w:autoSpaceDN w:val="0"/>
        <w:adjustRightInd w:val="0"/>
        <w:spacing w:after="0"/>
        <w:rPr>
          <w:color w:val="231F20"/>
        </w:rPr>
      </w:pPr>
      <w:r>
        <w:rPr>
          <w:color w:val="231F20"/>
        </w:rPr>
        <w:t xml:space="preserve">For this assignment, we will be examining the </w:t>
      </w:r>
      <w:proofErr w:type="spellStart"/>
      <w:r>
        <w:rPr>
          <w:color w:val="231F20"/>
        </w:rPr>
        <w:t>Mall_</w:t>
      </w:r>
      <w:proofErr w:type="gramStart"/>
      <w:r>
        <w:rPr>
          <w:color w:val="231F20"/>
        </w:rPr>
        <w:t>Customers</w:t>
      </w:r>
      <w:proofErr w:type="spellEnd"/>
      <w:proofErr w:type="gramEnd"/>
      <w:r>
        <w:rPr>
          <w:color w:val="231F20"/>
        </w:rPr>
        <w:t xml:space="preserve"> dataset found on Kaggle to showcase our </w:t>
      </w:r>
    </w:p>
    <w:p w14:paraId="1362FA31" w14:textId="098FB026" w:rsidR="00543782" w:rsidRDefault="00543782" w:rsidP="00543782">
      <w:pPr>
        <w:autoSpaceDE w:val="0"/>
        <w:autoSpaceDN w:val="0"/>
        <w:adjustRightInd w:val="0"/>
        <w:spacing w:after="0"/>
        <w:rPr>
          <w:color w:val="231F20"/>
        </w:rPr>
      </w:pPr>
      <w:r>
        <w:rPr>
          <w:color w:val="231F20"/>
        </w:rPr>
        <w:t xml:space="preserve">K-Means clustering algorithm. Before we do that, we must examine the data and formulate questions to motivate our research. </w:t>
      </w:r>
    </w:p>
    <w:p w14:paraId="68655B33" w14:textId="1368929D" w:rsidR="00543782" w:rsidRDefault="00543782" w:rsidP="00543782">
      <w:pPr>
        <w:autoSpaceDE w:val="0"/>
        <w:autoSpaceDN w:val="0"/>
        <w:adjustRightInd w:val="0"/>
        <w:spacing w:after="0"/>
        <w:rPr>
          <w:color w:val="231F20"/>
        </w:rPr>
      </w:pPr>
    </w:p>
    <w:p w14:paraId="086853FA" w14:textId="28B308DF" w:rsidR="00543782" w:rsidRDefault="00543782" w:rsidP="00543782">
      <w:pPr>
        <w:autoSpaceDE w:val="0"/>
        <w:autoSpaceDN w:val="0"/>
        <w:adjustRightInd w:val="0"/>
        <w:spacing w:after="0"/>
        <w:rPr>
          <w:color w:val="231F20"/>
        </w:rPr>
      </w:pPr>
      <w:r>
        <w:rPr>
          <w:color w:val="231F20"/>
        </w:rPr>
        <w:t xml:space="preserve">The set in question contains information about some customers who each own a membership card for a certain mall. Over the course of six months, you gather data on these customers including their age, income, </w:t>
      </w:r>
      <w:proofErr w:type="gramStart"/>
      <w:r>
        <w:rPr>
          <w:color w:val="231F20"/>
        </w:rPr>
        <w:t>gender</w:t>
      </w:r>
      <w:proofErr w:type="gramEnd"/>
      <w:r>
        <w:rPr>
          <w:color w:val="231F20"/>
        </w:rPr>
        <w:t xml:space="preserve"> and spending score. This is a metric, on a scale from 1-100, that measures customer activity (with higher values correlating to being a “better customer” both in frequency and total amount spent on purchases). A sample table is found below:</w:t>
      </w:r>
    </w:p>
    <w:p w14:paraId="0D02E199" w14:textId="42957117" w:rsidR="00543782" w:rsidRDefault="00543782" w:rsidP="00543782">
      <w:pPr>
        <w:autoSpaceDE w:val="0"/>
        <w:autoSpaceDN w:val="0"/>
        <w:adjustRightInd w:val="0"/>
        <w:spacing w:after="0"/>
        <w:rPr>
          <w:color w:val="231F20"/>
        </w:rPr>
      </w:pPr>
    </w:p>
    <w:p w14:paraId="7A205645" w14:textId="4E20D77D" w:rsidR="00543782" w:rsidRDefault="00543782" w:rsidP="00543782">
      <w:pPr>
        <w:autoSpaceDE w:val="0"/>
        <w:autoSpaceDN w:val="0"/>
        <w:adjustRightInd w:val="0"/>
        <w:spacing w:after="0"/>
        <w:jc w:val="center"/>
        <w:rPr>
          <w:color w:val="231F20"/>
        </w:rPr>
      </w:pPr>
      <w:r w:rsidRPr="00543782">
        <w:rPr>
          <w:color w:val="231F20"/>
        </w:rPr>
        <w:drawing>
          <wp:inline distT="0" distB="0" distL="0" distR="0" wp14:anchorId="5CF7AAC7" wp14:editId="55180187">
            <wp:extent cx="4414233" cy="1400670"/>
            <wp:effectExtent l="0" t="0" r="571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2215" cy="1403203"/>
                    </a:xfrm>
                    <a:prstGeom prst="rect">
                      <a:avLst/>
                    </a:prstGeom>
                  </pic:spPr>
                </pic:pic>
              </a:graphicData>
            </a:graphic>
          </wp:inline>
        </w:drawing>
      </w:r>
    </w:p>
    <w:p w14:paraId="7C5B8FA8" w14:textId="77777777" w:rsidR="00543782" w:rsidRDefault="00543782" w:rsidP="00543782">
      <w:pPr>
        <w:autoSpaceDE w:val="0"/>
        <w:autoSpaceDN w:val="0"/>
        <w:adjustRightInd w:val="0"/>
        <w:spacing w:after="0"/>
        <w:rPr>
          <w:color w:val="231F20"/>
        </w:rPr>
      </w:pPr>
    </w:p>
    <w:p w14:paraId="2DCD57C5" w14:textId="06A24F8D" w:rsidR="00543782" w:rsidRDefault="00543782" w:rsidP="00543782">
      <w:pPr>
        <w:autoSpaceDE w:val="0"/>
        <w:autoSpaceDN w:val="0"/>
        <w:adjustRightInd w:val="0"/>
        <w:spacing w:after="0"/>
        <w:rPr>
          <w:color w:val="231F20"/>
        </w:rPr>
      </w:pPr>
      <w:r>
        <w:rPr>
          <w:color w:val="231F20"/>
        </w:rPr>
        <w:t>Based on this data, we wish to find clusters of customers to better understand shopping patterns in our mall</w:t>
      </w:r>
      <w:r w:rsidR="006D01F8">
        <w:rPr>
          <w:color w:val="231F20"/>
        </w:rPr>
        <w:t xml:space="preserve">, and we want to focus </w:t>
      </w:r>
      <w:proofErr w:type="gramStart"/>
      <w:r w:rsidR="006D01F8">
        <w:rPr>
          <w:color w:val="231F20"/>
        </w:rPr>
        <w:t>in particular on</w:t>
      </w:r>
      <w:proofErr w:type="gramEnd"/>
      <w:r w:rsidR="006D01F8">
        <w:rPr>
          <w:color w:val="231F20"/>
        </w:rPr>
        <w:t xml:space="preserve"> the income and spending variables</w:t>
      </w:r>
      <w:r>
        <w:rPr>
          <w:color w:val="231F20"/>
        </w:rPr>
        <w:t xml:space="preserve">. One question we might be interested in is how many discernable clusters could there be? We might also ask if there is a group that is spending </w:t>
      </w:r>
      <w:proofErr w:type="gramStart"/>
      <w:r>
        <w:rPr>
          <w:color w:val="231F20"/>
        </w:rPr>
        <w:t>well</w:t>
      </w:r>
      <w:proofErr w:type="gramEnd"/>
      <w:r>
        <w:rPr>
          <w:color w:val="231F20"/>
        </w:rPr>
        <w:t xml:space="preserve"> and we would like to reward their spending with increased benefits and discounts in our stores. Or perhaps, is there a group that is somewhat </w:t>
      </w:r>
      <w:proofErr w:type="gramStart"/>
      <w:r>
        <w:rPr>
          <w:color w:val="231F20"/>
        </w:rPr>
        <w:t>behind</w:t>
      </w:r>
      <w:proofErr w:type="gramEnd"/>
      <w:r>
        <w:rPr>
          <w:color w:val="231F20"/>
        </w:rPr>
        <w:t xml:space="preserve"> and we might be interested in marketing to them get them to become more fervent shoppers. And finally, we might postulate if there is a group that warrants churn consideration: could customers be on the verge of leaving their memberships due to dissatisfaction, and are there therefore measures that we can take to convince them to stay?</w:t>
      </w:r>
    </w:p>
    <w:p w14:paraId="38C4582F" w14:textId="442965D1" w:rsidR="00543782" w:rsidRDefault="00543782" w:rsidP="00543782">
      <w:pPr>
        <w:autoSpaceDE w:val="0"/>
        <w:autoSpaceDN w:val="0"/>
        <w:adjustRightInd w:val="0"/>
        <w:spacing w:after="0"/>
        <w:rPr>
          <w:color w:val="231F20"/>
        </w:rPr>
      </w:pPr>
    </w:p>
    <w:p w14:paraId="0333E011" w14:textId="4E649233" w:rsidR="00543782" w:rsidRDefault="00543782" w:rsidP="00543782">
      <w:pPr>
        <w:autoSpaceDE w:val="0"/>
        <w:autoSpaceDN w:val="0"/>
        <w:adjustRightInd w:val="0"/>
        <w:spacing w:after="0"/>
        <w:rPr>
          <w:color w:val="231F20"/>
        </w:rPr>
      </w:pPr>
      <w:r>
        <w:rPr>
          <w:color w:val="231F20"/>
        </w:rPr>
        <w:t xml:space="preserve">The </w:t>
      </w:r>
      <w:proofErr w:type="spellStart"/>
      <w:r>
        <w:rPr>
          <w:color w:val="231F20"/>
        </w:rPr>
        <w:t>KMeans</w:t>
      </w:r>
      <w:proofErr w:type="spellEnd"/>
      <w:r>
        <w:rPr>
          <w:color w:val="231F20"/>
        </w:rPr>
        <w:t xml:space="preserve"> algorithm is implemented in the corresponding Jupyter Notebook, but theoretical explanation is left to this report. The algorithm is designed to create “clusters” of the datapoints in the input matrix </w:t>
      </w:r>
      <m:oMath>
        <m:r>
          <m:rPr>
            <m:sty m:val="bi"/>
          </m:rPr>
          <w:rPr>
            <w:rFonts w:ascii="Cambria Math" w:hAnsi="Cambria Math"/>
            <w:color w:val="231F20"/>
          </w:rPr>
          <m:t>X</m:t>
        </m:r>
      </m:oMath>
      <w:r>
        <w:rPr>
          <w:color w:val="231F20"/>
        </w:rPr>
        <w:t xml:space="preserve">. Since this is a partitioning task, the criterion for the partitions is defined to be the distance between cluster centers. </w:t>
      </w:r>
    </w:p>
    <w:p w14:paraId="0349939C" w14:textId="7DCE2A46" w:rsidR="00543782" w:rsidRDefault="00543782" w:rsidP="00543782">
      <w:pPr>
        <w:autoSpaceDE w:val="0"/>
        <w:autoSpaceDN w:val="0"/>
        <w:adjustRightInd w:val="0"/>
        <w:spacing w:after="0"/>
        <w:rPr>
          <w:color w:val="231F20"/>
        </w:rPr>
      </w:pPr>
      <w:r>
        <w:rPr>
          <w:color w:val="231F20"/>
        </w:rPr>
        <w:t xml:space="preserve">If </w:t>
      </w:r>
      <m:oMath>
        <m:sSub>
          <m:sSubPr>
            <m:ctrlPr>
              <w:rPr>
                <w:rFonts w:ascii="Cambria Math" w:hAnsi="Cambria Math"/>
                <w:i/>
                <w:color w:val="231F20"/>
              </w:rPr>
            </m:ctrlPr>
          </m:sSubPr>
          <m:e>
            <m:r>
              <w:rPr>
                <w:rFonts w:ascii="Cambria Math" w:hAnsi="Cambria Math"/>
                <w:color w:val="231F20"/>
              </w:rPr>
              <m:t>N</m:t>
            </m:r>
          </m:e>
          <m:sub>
            <m:r>
              <w:rPr>
                <w:rFonts w:ascii="Cambria Math" w:hAnsi="Cambria Math"/>
                <w:color w:val="231F20"/>
              </w:rPr>
              <m:t>k</m:t>
            </m:r>
          </m:sub>
        </m:sSub>
      </m:oMath>
      <w:r>
        <w:rPr>
          <w:color w:val="231F20"/>
        </w:rPr>
        <w:t xml:space="preserve"> is the number of samples in cluster </w:t>
      </w:r>
      <m:oMath>
        <m:r>
          <w:rPr>
            <w:rFonts w:ascii="Cambria Math" w:hAnsi="Cambria Math"/>
            <w:color w:val="231F20"/>
          </w:rPr>
          <m:t>k</m:t>
        </m:r>
      </m:oMath>
      <w:r>
        <w:rPr>
          <w:color w:val="231F20"/>
        </w:rPr>
        <w:t xml:space="preserve">, then the center is defined as: </w:t>
      </w:r>
      <m:oMath>
        <m:sSub>
          <m:sSubPr>
            <m:ctrlPr>
              <w:rPr>
                <w:rFonts w:ascii="Cambria Math" w:hAnsi="Cambria Math"/>
                <w:i/>
                <w:color w:val="231F20"/>
              </w:rPr>
            </m:ctrlPr>
          </m:sSubPr>
          <m:e>
            <m:r>
              <m:rPr>
                <m:sty m:val="bi"/>
              </m:rPr>
              <w:rPr>
                <w:rFonts w:ascii="Cambria Math" w:hAnsi="Cambria Math"/>
                <w:color w:val="231F20"/>
              </w:rPr>
              <m:t>μ</m:t>
            </m:r>
          </m:e>
          <m:sub>
            <m:r>
              <w:rPr>
                <w:rFonts w:ascii="Cambria Math" w:hAnsi="Cambria Math"/>
                <w:color w:val="231F20"/>
              </w:rPr>
              <m:t>k</m:t>
            </m:r>
          </m:sub>
        </m:sSub>
        <m:r>
          <w:rPr>
            <w:rFonts w:ascii="Cambria Math" w:hAnsi="Cambria Math"/>
            <w:color w:val="231F20"/>
          </w:rPr>
          <m:t>=</m:t>
        </m:r>
        <m:f>
          <m:fPr>
            <m:ctrlPr>
              <w:rPr>
                <w:rFonts w:ascii="Cambria Math" w:hAnsi="Cambria Math"/>
                <w:i/>
                <w:color w:val="231F20"/>
              </w:rPr>
            </m:ctrlPr>
          </m:fPr>
          <m:num>
            <m:r>
              <w:rPr>
                <w:rFonts w:ascii="Cambria Math" w:hAnsi="Cambria Math"/>
                <w:color w:val="231F20"/>
              </w:rPr>
              <m:t>1</m:t>
            </m:r>
          </m:num>
          <m:den>
            <m:sSub>
              <m:sSubPr>
                <m:ctrlPr>
                  <w:rPr>
                    <w:rFonts w:ascii="Cambria Math" w:hAnsi="Cambria Math"/>
                    <w:i/>
                    <w:color w:val="231F20"/>
                  </w:rPr>
                </m:ctrlPr>
              </m:sSubPr>
              <m:e>
                <m:r>
                  <w:rPr>
                    <w:rFonts w:ascii="Cambria Math" w:hAnsi="Cambria Math"/>
                    <w:color w:val="231F20"/>
                  </w:rPr>
                  <m:t>N</m:t>
                </m:r>
              </m:e>
              <m:sub>
                <m:r>
                  <w:rPr>
                    <w:rFonts w:ascii="Cambria Math" w:hAnsi="Cambria Math"/>
                    <w:color w:val="231F20"/>
                  </w:rPr>
                  <m:t>k</m:t>
                </m:r>
              </m:sub>
            </m:sSub>
          </m:den>
        </m:f>
        <m:nary>
          <m:naryPr>
            <m:chr m:val="∑"/>
            <m:limLoc m:val="undOvr"/>
            <m:ctrlPr>
              <w:rPr>
                <w:rFonts w:ascii="Cambria Math" w:hAnsi="Cambria Math"/>
                <w:i/>
                <w:color w:val="231F20"/>
              </w:rPr>
            </m:ctrlPr>
          </m:naryPr>
          <m:sub>
            <m:r>
              <w:rPr>
                <w:rFonts w:ascii="Cambria Math" w:hAnsi="Cambria Math"/>
                <w:color w:val="231F20"/>
              </w:rPr>
              <m:t>i=1</m:t>
            </m:r>
          </m:sub>
          <m:sup>
            <m:sSub>
              <m:sSubPr>
                <m:ctrlPr>
                  <w:rPr>
                    <w:rFonts w:ascii="Cambria Math" w:hAnsi="Cambria Math"/>
                    <w:i/>
                    <w:color w:val="231F20"/>
                  </w:rPr>
                </m:ctrlPr>
              </m:sSubPr>
              <m:e>
                <m:r>
                  <w:rPr>
                    <w:rFonts w:ascii="Cambria Math" w:hAnsi="Cambria Math"/>
                    <w:color w:val="231F20"/>
                  </w:rPr>
                  <m:t>N</m:t>
                </m:r>
              </m:e>
              <m:sub>
                <m:r>
                  <w:rPr>
                    <w:rFonts w:ascii="Cambria Math" w:hAnsi="Cambria Math"/>
                    <w:color w:val="231F20"/>
                  </w:rPr>
                  <m:t>k</m:t>
                </m:r>
              </m:sub>
            </m:sSub>
          </m:sup>
          <m:e>
            <m:sSup>
              <m:sSupPr>
                <m:ctrlPr>
                  <w:rPr>
                    <w:rFonts w:ascii="Cambria Math" w:hAnsi="Cambria Math"/>
                    <w:i/>
                    <w:color w:val="231F20"/>
                  </w:rPr>
                </m:ctrlPr>
              </m:sSupPr>
              <m:e>
                <m:r>
                  <m:rPr>
                    <m:sty m:val="bi"/>
                  </m:rPr>
                  <w:rPr>
                    <w:rFonts w:ascii="Cambria Math" w:hAnsi="Cambria Math"/>
                    <w:color w:val="231F20"/>
                  </w:rPr>
                  <m:t>x</m:t>
                </m:r>
              </m:e>
              <m:sup>
                <m:r>
                  <w:rPr>
                    <w:rFonts w:ascii="Cambria Math" w:hAnsi="Cambria Math"/>
                    <w:color w:val="231F20"/>
                  </w:rPr>
                  <m:t>(i)</m:t>
                </m:r>
              </m:sup>
            </m:sSup>
          </m:e>
        </m:nary>
      </m:oMath>
      <w:r>
        <w:rPr>
          <w:color w:val="231F20"/>
        </w:rPr>
        <w:t xml:space="preserve">. This is also the mean of the cluster. The partitioning criterion, the distance measure, can be written simply as the norm of the data minus the mean: </w:t>
      </w:r>
      <m:oMath>
        <m:sSub>
          <m:sSubPr>
            <m:ctrlPr>
              <w:rPr>
                <w:rFonts w:ascii="Cambria Math" w:hAnsi="Cambria Math"/>
                <w:i/>
                <w:color w:val="231F20"/>
              </w:rPr>
            </m:ctrlPr>
          </m:sSubPr>
          <m:e>
            <m:r>
              <w:rPr>
                <w:rFonts w:ascii="Cambria Math" w:hAnsi="Cambria Math"/>
                <w:color w:val="231F20"/>
              </w:rPr>
              <m:t>d</m:t>
            </m:r>
          </m:e>
          <m:sub>
            <m:r>
              <w:rPr>
                <w:rFonts w:ascii="Cambria Math" w:hAnsi="Cambria Math"/>
                <w:color w:val="231F20"/>
              </w:rPr>
              <m:t>ik</m:t>
            </m:r>
          </m:sub>
        </m:sSub>
        <m:r>
          <w:rPr>
            <w:rFonts w:ascii="Cambria Math" w:hAnsi="Cambria Math"/>
            <w:color w:val="231F20"/>
          </w:rPr>
          <m:t>=</m:t>
        </m:r>
        <m:d>
          <m:dPr>
            <m:begChr m:val="‖"/>
            <m:endChr m:val="‖"/>
            <m:ctrlPr>
              <w:rPr>
                <w:rFonts w:ascii="Cambria Math" w:hAnsi="Cambria Math"/>
                <w:i/>
                <w:color w:val="231F20"/>
              </w:rPr>
            </m:ctrlPr>
          </m:dPr>
          <m:e>
            <m:sSup>
              <m:sSupPr>
                <m:ctrlPr>
                  <w:rPr>
                    <w:rFonts w:ascii="Cambria Math" w:hAnsi="Cambria Math"/>
                    <w:i/>
                    <w:color w:val="231F20"/>
                  </w:rPr>
                </m:ctrlPr>
              </m:sSupPr>
              <m:e>
                <m:r>
                  <m:rPr>
                    <m:sty m:val="bi"/>
                  </m:rPr>
                  <w:rPr>
                    <w:rFonts w:ascii="Cambria Math" w:hAnsi="Cambria Math"/>
                    <w:color w:val="231F20"/>
                  </w:rPr>
                  <m:t>x</m:t>
                </m:r>
              </m:e>
              <m:sup>
                <m:r>
                  <w:rPr>
                    <w:rFonts w:ascii="Cambria Math" w:hAnsi="Cambria Math"/>
                    <w:color w:val="231F20"/>
                  </w:rPr>
                  <m:t>(i)</m:t>
                </m:r>
              </m:sup>
            </m:sSup>
            <m:r>
              <w:rPr>
                <w:rFonts w:ascii="Cambria Math" w:hAnsi="Cambria Math"/>
                <w:color w:val="231F20"/>
              </w:rPr>
              <m:t>-</m:t>
            </m:r>
            <m:sSub>
              <m:sSubPr>
                <m:ctrlPr>
                  <w:rPr>
                    <w:rFonts w:ascii="Cambria Math" w:hAnsi="Cambria Math"/>
                    <w:i/>
                    <w:color w:val="231F20"/>
                  </w:rPr>
                </m:ctrlPr>
              </m:sSubPr>
              <m:e>
                <m:r>
                  <m:rPr>
                    <m:sty m:val="bi"/>
                  </m:rPr>
                  <w:rPr>
                    <w:rFonts w:ascii="Cambria Math" w:hAnsi="Cambria Math"/>
                    <w:color w:val="231F20"/>
                  </w:rPr>
                  <m:t>μ</m:t>
                </m:r>
              </m:e>
              <m:sub>
                <m:r>
                  <w:rPr>
                    <w:rFonts w:ascii="Cambria Math" w:hAnsi="Cambria Math"/>
                    <w:color w:val="231F20"/>
                  </w:rPr>
                  <m:t>k</m:t>
                </m:r>
              </m:sub>
            </m:sSub>
          </m:e>
        </m:d>
      </m:oMath>
      <w:r>
        <w:rPr>
          <w:color w:val="231F20"/>
        </w:rPr>
        <w:t xml:space="preserve">. If we compute the double sum of this value across all clusters </w:t>
      </w:r>
      <m:oMath>
        <m:r>
          <w:rPr>
            <w:rFonts w:ascii="Cambria Math" w:hAnsi="Cambria Math"/>
            <w:color w:val="231F20"/>
          </w:rPr>
          <m:t>K</m:t>
        </m:r>
      </m:oMath>
      <w:r>
        <w:rPr>
          <w:color w:val="231F20"/>
        </w:rPr>
        <w:t xml:space="preserve">:    </w:t>
      </w:r>
      <m:oMath>
        <m:r>
          <w:rPr>
            <w:rFonts w:ascii="Cambria Math" w:hAnsi="Cambria Math"/>
            <w:color w:val="231F20"/>
          </w:rPr>
          <m:t>J=</m:t>
        </m:r>
        <m:nary>
          <m:naryPr>
            <m:chr m:val="∑"/>
            <m:limLoc m:val="subSup"/>
            <m:ctrlPr>
              <w:rPr>
                <w:rFonts w:ascii="Cambria Math" w:hAnsi="Cambria Math"/>
                <w:i/>
                <w:color w:val="231F20"/>
              </w:rPr>
            </m:ctrlPr>
          </m:naryPr>
          <m:sub>
            <m:r>
              <w:rPr>
                <w:rFonts w:ascii="Cambria Math" w:hAnsi="Cambria Math"/>
                <w:color w:val="231F20"/>
              </w:rPr>
              <m:t>k=1</m:t>
            </m:r>
          </m:sub>
          <m:sup>
            <m:r>
              <w:rPr>
                <w:rFonts w:ascii="Cambria Math" w:hAnsi="Cambria Math"/>
                <w:color w:val="231F20"/>
              </w:rPr>
              <m:t>K</m:t>
            </m:r>
          </m:sup>
          <m:e>
            <m:nary>
              <m:naryPr>
                <m:chr m:val="∑"/>
                <m:limLoc m:val="subSup"/>
                <m:ctrlPr>
                  <w:rPr>
                    <w:rFonts w:ascii="Cambria Math" w:hAnsi="Cambria Math"/>
                    <w:i/>
                    <w:color w:val="231F20"/>
                  </w:rPr>
                </m:ctrlPr>
              </m:naryPr>
              <m:sub>
                <m:r>
                  <w:rPr>
                    <w:rFonts w:ascii="Cambria Math" w:hAnsi="Cambria Math"/>
                    <w:color w:val="231F20"/>
                  </w:rPr>
                  <m:t>i=1</m:t>
                </m:r>
              </m:sub>
              <m:sup>
                <m:sSub>
                  <m:sSubPr>
                    <m:ctrlPr>
                      <w:rPr>
                        <w:rFonts w:ascii="Cambria Math" w:hAnsi="Cambria Math"/>
                        <w:i/>
                        <w:color w:val="231F20"/>
                      </w:rPr>
                    </m:ctrlPr>
                  </m:sSubPr>
                  <m:e>
                    <m:r>
                      <w:rPr>
                        <w:rFonts w:ascii="Cambria Math" w:hAnsi="Cambria Math"/>
                        <w:color w:val="231F20"/>
                      </w:rPr>
                      <m:t>N</m:t>
                    </m:r>
                  </m:e>
                  <m:sub>
                    <m:r>
                      <w:rPr>
                        <w:rFonts w:ascii="Cambria Math" w:hAnsi="Cambria Math"/>
                        <w:color w:val="231F20"/>
                      </w:rPr>
                      <m:t>k</m:t>
                    </m:r>
                  </m:sub>
                </m:sSub>
              </m:sup>
              <m:e>
                <m:d>
                  <m:dPr>
                    <m:begChr m:val="‖"/>
                    <m:endChr m:val="‖"/>
                    <m:ctrlPr>
                      <w:rPr>
                        <w:rFonts w:ascii="Cambria Math" w:hAnsi="Cambria Math"/>
                        <w:i/>
                        <w:color w:val="231F20"/>
                      </w:rPr>
                    </m:ctrlPr>
                  </m:dPr>
                  <m:e>
                    <m:sSup>
                      <m:sSupPr>
                        <m:ctrlPr>
                          <w:rPr>
                            <w:rFonts w:ascii="Cambria Math" w:hAnsi="Cambria Math"/>
                            <w:i/>
                            <w:color w:val="231F20"/>
                          </w:rPr>
                        </m:ctrlPr>
                      </m:sSupPr>
                      <m:e>
                        <m:r>
                          <m:rPr>
                            <m:sty m:val="bi"/>
                          </m:rPr>
                          <w:rPr>
                            <w:rFonts w:ascii="Cambria Math" w:hAnsi="Cambria Math"/>
                            <w:color w:val="231F20"/>
                          </w:rPr>
                          <m:t>x</m:t>
                        </m:r>
                      </m:e>
                      <m:sup>
                        <m:r>
                          <w:rPr>
                            <w:rFonts w:ascii="Cambria Math" w:hAnsi="Cambria Math"/>
                            <w:color w:val="231F20"/>
                          </w:rPr>
                          <m:t>(i)</m:t>
                        </m:r>
                      </m:sup>
                    </m:sSup>
                    <m:r>
                      <w:rPr>
                        <w:rFonts w:ascii="Cambria Math" w:hAnsi="Cambria Math"/>
                        <w:color w:val="231F20"/>
                      </w:rPr>
                      <m:t>-</m:t>
                    </m:r>
                    <m:sSub>
                      <m:sSubPr>
                        <m:ctrlPr>
                          <w:rPr>
                            <w:rFonts w:ascii="Cambria Math" w:hAnsi="Cambria Math"/>
                            <w:i/>
                            <w:color w:val="231F20"/>
                          </w:rPr>
                        </m:ctrlPr>
                      </m:sSubPr>
                      <m:e>
                        <m:r>
                          <m:rPr>
                            <m:sty m:val="bi"/>
                          </m:rPr>
                          <w:rPr>
                            <w:rFonts w:ascii="Cambria Math" w:hAnsi="Cambria Math"/>
                            <w:color w:val="231F20"/>
                          </w:rPr>
                          <m:t>μ</m:t>
                        </m:r>
                      </m:e>
                      <m:sub>
                        <m:r>
                          <w:rPr>
                            <w:rFonts w:ascii="Cambria Math" w:hAnsi="Cambria Math"/>
                            <w:color w:val="231F20"/>
                          </w:rPr>
                          <m:t>k</m:t>
                        </m:r>
                      </m:sub>
                    </m:sSub>
                  </m:e>
                </m:d>
              </m:e>
            </m:nary>
          </m:e>
        </m:nary>
      </m:oMath>
      <w:r>
        <w:rPr>
          <w:color w:val="231F20"/>
        </w:rPr>
        <w:t>, we get the sum-of-squares error criterion, which helps to optimize (through taking the partial derivative of J with respect to</w:t>
      </w:r>
      <m:oMath>
        <m:r>
          <w:rPr>
            <w:rFonts w:ascii="Cambria Math" w:hAnsi="Cambria Math"/>
            <w:color w:val="231F20"/>
          </w:rPr>
          <m:t xml:space="preserve"> </m:t>
        </m:r>
        <m:sSub>
          <m:sSubPr>
            <m:ctrlPr>
              <w:rPr>
                <w:rFonts w:ascii="Cambria Math" w:hAnsi="Cambria Math"/>
                <w:i/>
                <w:color w:val="231F20"/>
              </w:rPr>
            </m:ctrlPr>
          </m:sSubPr>
          <m:e>
            <m:r>
              <m:rPr>
                <m:sty m:val="bi"/>
              </m:rPr>
              <w:rPr>
                <w:rFonts w:ascii="Cambria Math" w:hAnsi="Cambria Math"/>
                <w:color w:val="231F20"/>
              </w:rPr>
              <m:t>μ</m:t>
            </m:r>
          </m:e>
          <m:sub>
            <m:r>
              <w:rPr>
                <w:rFonts w:ascii="Cambria Math" w:hAnsi="Cambria Math"/>
                <w:color w:val="231F20"/>
              </w:rPr>
              <m:t>k</m:t>
            </m:r>
          </m:sub>
        </m:sSub>
      </m:oMath>
      <w:r>
        <w:rPr>
          <w:color w:val="231F20"/>
        </w:rPr>
        <w:t xml:space="preserve">) the distance and find the cluster centers. Defining these means is a recursive process that proceeds until a stopping criterion is met, and the distances are determined to be sufficient. </w:t>
      </w:r>
    </w:p>
    <w:p w14:paraId="47335303" w14:textId="17048816" w:rsidR="00543782" w:rsidRDefault="00543782" w:rsidP="00543782">
      <w:pPr>
        <w:autoSpaceDE w:val="0"/>
        <w:autoSpaceDN w:val="0"/>
        <w:adjustRightInd w:val="0"/>
        <w:spacing w:after="0"/>
        <w:rPr>
          <w:color w:val="231F20"/>
        </w:rPr>
      </w:pPr>
    </w:p>
    <w:p w14:paraId="5175D9A4" w14:textId="77777777" w:rsidR="00543782" w:rsidRDefault="00543782" w:rsidP="00543782">
      <w:pPr>
        <w:autoSpaceDE w:val="0"/>
        <w:autoSpaceDN w:val="0"/>
        <w:adjustRightInd w:val="0"/>
        <w:spacing w:after="0"/>
        <w:rPr>
          <w:color w:val="231F20"/>
        </w:rPr>
      </w:pPr>
      <w:r>
        <w:rPr>
          <w:color w:val="231F20"/>
        </w:rPr>
        <w:t xml:space="preserve">All that is left to do is to find the number of clusters K. While this must be user-defined prior to the implementation of the algorithm, it is not a trivial “guess and check” method. One popular way to compute this number mathematically is referred to as the Elbow method. This method computes the </w:t>
      </w:r>
      <w:proofErr w:type="spellStart"/>
      <w:r>
        <w:rPr>
          <w:color w:val="231F20"/>
        </w:rPr>
        <w:t>KMeans</w:t>
      </w:r>
      <w:proofErr w:type="spellEnd"/>
      <w:r>
        <w:rPr>
          <w:color w:val="231F20"/>
        </w:rPr>
        <w:t xml:space="preserve"> algorithm for every value in a specified range, say from 1 to 15, and then plots a value known in the documentation as WCSS. This stands for </w:t>
      </w:r>
      <w:r>
        <w:rPr>
          <w:i/>
          <w:iCs/>
          <w:color w:val="231F20"/>
        </w:rPr>
        <w:t>within-cluster-sum-</w:t>
      </w:r>
      <w:proofErr w:type="gramStart"/>
      <w:r>
        <w:rPr>
          <w:i/>
          <w:iCs/>
          <w:color w:val="231F20"/>
        </w:rPr>
        <w:t>square</w:t>
      </w:r>
      <w:r>
        <w:rPr>
          <w:color w:val="231F20"/>
        </w:rPr>
        <w:t>, and</w:t>
      </w:r>
      <w:proofErr w:type="gramEnd"/>
      <w:r>
        <w:rPr>
          <w:color w:val="231F20"/>
        </w:rPr>
        <w:t xml:space="preserve"> is a feature we would obviously like to have optimized. However, we also want to guard against overfitting our data. </w:t>
      </w:r>
    </w:p>
    <w:p w14:paraId="6593FE0A" w14:textId="77777777" w:rsidR="00543782" w:rsidRDefault="00543782" w:rsidP="00543782">
      <w:pPr>
        <w:autoSpaceDE w:val="0"/>
        <w:autoSpaceDN w:val="0"/>
        <w:adjustRightInd w:val="0"/>
        <w:spacing w:after="0"/>
        <w:rPr>
          <w:color w:val="231F20"/>
        </w:rPr>
      </w:pPr>
    </w:p>
    <w:p w14:paraId="23E58059" w14:textId="162F5FCF" w:rsidR="00543782" w:rsidRDefault="00543782" w:rsidP="00543782">
      <w:pPr>
        <w:autoSpaceDE w:val="0"/>
        <w:autoSpaceDN w:val="0"/>
        <w:adjustRightInd w:val="0"/>
        <w:spacing w:after="0"/>
        <w:rPr>
          <w:color w:val="231F20"/>
        </w:rPr>
      </w:pPr>
      <w:r>
        <w:rPr>
          <w:color w:val="231F20"/>
        </w:rPr>
        <w:lastRenderedPageBreak/>
        <w:t>The solution to this problem is to plot the WCSS for every value in the predefined range, and then look for the “elbow” of the graph. This is mean to represent the inflection point of the data, but due to its discrete definition it is more often said to look like an elbow. Below is said plot for this dataset:</w:t>
      </w:r>
    </w:p>
    <w:p w14:paraId="327B4245" w14:textId="77777777" w:rsidR="00543782" w:rsidRDefault="00543782" w:rsidP="00543782">
      <w:pPr>
        <w:autoSpaceDE w:val="0"/>
        <w:autoSpaceDN w:val="0"/>
        <w:adjustRightInd w:val="0"/>
        <w:spacing w:after="0"/>
        <w:rPr>
          <w:color w:val="231F20"/>
        </w:rPr>
      </w:pPr>
    </w:p>
    <w:p w14:paraId="216567BF" w14:textId="3DAA2224" w:rsidR="00543782" w:rsidRDefault="00543782" w:rsidP="00B47844">
      <w:pPr>
        <w:autoSpaceDE w:val="0"/>
        <w:autoSpaceDN w:val="0"/>
        <w:adjustRightInd w:val="0"/>
        <w:spacing w:after="0"/>
        <w:jc w:val="center"/>
        <w:rPr>
          <w:color w:val="231F20"/>
        </w:rPr>
      </w:pPr>
      <w:r>
        <w:rPr>
          <w:noProof/>
          <w:color w:val="231F20"/>
        </w:rPr>
        <w:drawing>
          <wp:inline distT="0" distB="0" distL="0" distR="0" wp14:anchorId="668FBC77" wp14:editId="3A0C61B9">
            <wp:extent cx="5169535" cy="353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9535" cy="3530600"/>
                    </a:xfrm>
                    <a:prstGeom prst="rect">
                      <a:avLst/>
                    </a:prstGeom>
                    <a:noFill/>
                    <a:ln>
                      <a:noFill/>
                    </a:ln>
                  </pic:spPr>
                </pic:pic>
              </a:graphicData>
            </a:graphic>
          </wp:inline>
        </w:drawing>
      </w:r>
    </w:p>
    <w:p w14:paraId="42EC8716" w14:textId="665B79BB" w:rsidR="00543782" w:rsidRDefault="00543782" w:rsidP="00543782">
      <w:pPr>
        <w:autoSpaceDE w:val="0"/>
        <w:autoSpaceDN w:val="0"/>
        <w:adjustRightInd w:val="0"/>
        <w:spacing w:after="0"/>
        <w:rPr>
          <w:color w:val="231F20"/>
        </w:rPr>
      </w:pPr>
    </w:p>
    <w:p w14:paraId="61DF8CCB" w14:textId="3CF0BEA8" w:rsidR="00543782" w:rsidRDefault="00543782" w:rsidP="00543782">
      <w:pPr>
        <w:autoSpaceDE w:val="0"/>
        <w:autoSpaceDN w:val="0"/>
        <w:adjustRightInd w:val="0"/>
        <w:spacing w:after="0"/>
        <w:rPr>
          <w:color w:val="231F20"/>
        </w:rPr>
      </w:pPr>
      <w:r>
        <w:rPr>
          <w:color w:val="231F20"/>
        </w:rPr>
        <w:t xml:space="preserve">From here, we judge that the bend at </w:t>
      </w:r>
      <m:oMath>
        <m:r>
          <w:rPr>
            <w:rFonts w:ascii="Cambria Math" w:hAnsi="Cambria Math"/>
            <w:color w:val="231F20"/>
          </w:rPr>
          <m:t>k=5</m:t>
        </m:r>
      </m:oMath>
      <w:r>
        <w:rPr>
          <w:color w:val="231F20"/>
        </w:rPr>
        <w:t xml:space="preserve"> is the elbow of this graph, so we will set our algorithm to compute the </w:t>
      </w:r>
      <w:proofErr w:type="spellStart"/>
      <w:r>
        <w:rPr>
          <w:color w:val="231F20"/>
        </w:rPr>
        <w:t>KMeans</w:t>
      </w:r>
      <w:proofErr w:type="spellEnd"/>
      <w:r>
        <w:rPr>
          <w:color w:val="231F20"/>
        </w:rPr>
        <w:t xml:space="preserve"> for 5 clusters. Below is the plot of the results:</w:t>
      </w:r>
    </w:p>
    <w:p w14:paraId="7ACF11D0" w14:textId="77777777" w:rsidR="00543782" w:rsidRDefault="00543782" w:rsidP="00543782">
      <w:pPr>
        <w:autoSpaceDE w:val="0"/>
        <w:autoSpaceDN w:val="0"/>
        <w:adjustRightInd w:val="0"/>
        <w:spacing w:after="0"/>
        <w:rPr>
          <w:color w:val="231F20"/>
        </w:rPr>
      </w:pPr>
    </w:p>
    <w:p w14:paraId="07698D15" w14:textId="319976A3" w:rsidR="00543782" w:rsidRDefault="00543782" w:rsidP="00543782">
      <w:pPr>
        <w:autoSpaceDE w:val="0"/>
        <w:autoSpaceDN w:val="0"/>
        <w:adjustRightInd w:val="0"/>
        <w:spacing w:after="0"/>
        <w:jc w:val="center"/>
        <w:rPr>
          <w:color w:val="231F20"/>
        </w:rPr>
      </w:pPr>
      <w:r>
        <w:rPr>
          <w:noProof/>
          <w:color w:val="231F20"/>
        </w:rPr>
        <w:drawing>
          <wp:inline distT="0" distB="0" distL="0" distR="0" wp14:anchorId="34FC2757" wp14:editId="4B0C4AAC">
            <wp:extent cx="4751709" cy="41739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845" cy="4181143"/>
                    </a:xfrm>
                    <a:prstGeom prst="rect">
                      <a:avLst/>
                    </a:prstGeom>
                    <a:noFill/>
                    <a:ln>
                      <a:noFill/>
                    </a:ln>
                  </pic:spPr>
                </pic:pic>
              </a:graphicData>
            </a:graphic>
          </wp:inline>
        </w:drawing>
      </w:r>
    </w:p>
    <w:p w14:paraId="3C632315" w14:textId="2ED0DC0D" w:rsidR="00543782" w:rsidRDefault="00543782" w:rsidP="00543782">
      <w:pPr>
        <w:autoSpaceDE w:val="0"/>
        <w:autoSpaceDN w:val="0"/>
        <w:adjustRightInd w:val="0"/>
        <w:spacing w:after="0"/>
        <w:rPr>
          <w:color w:val="231F20"/>
        </w:rPr>
      </w:pPr>
      <w:r>
        <w:rPr>
          <w:color w:val="231F20"/>
        </w:rPr>
        <w:lastRenderedPageBreak/>
        <w:t xml:space="preserve">From a quick visual scan, it appears 5 clusters might have been as close to a perfect fit as possible for this data. What we notice is that there is a very distinct population in the center cluster and more sparsely populated ones on the corners. Recall that we did not require clusters to be of equal size in this algorithm. </w:t>
      </w:r>
    </w:p>
    <w:p w14:paraId="1D9699FF" w14:textId="359E89C1" w:rsidR="006D01F8" w:rsidRDefault="006D01F8" w:rsidP="00543782">
      <w:pPr>
        <w:autoSpaceDE w:val="0"/>
        <w:autoSpaceDN w:val="0"/>
        <w:adjustRightInd w:val="0"/>
        <w:spacing w:after="0"/>
        <w:rPr>
          <w:color w:val="231F20"/>
        </w:rPr>
      </w:pPr>
    </w:p>
    <w:p w14:paraId="1ECF2EA5" w14:textId="77777777" w:rsidR="003852C0" w:rsidRDefault="006D01F8" w:rsidP="00AB5AA9">
      <w:pPr>
        <w:autoSpaceDE w:val="0"/>
        <w:autoSpaceDN w:val="0"/>
        <w:adjustRightInd w:val="0"/>
        <w:spacing w:after="0"/>
        <w:rPr>
          <w:color w:val="231F20"/>
        </w:rPr>
      </w:pPr>
      <w:r>
        <w:rPr>
          <w:color w:val="231F20"/>
        </w:rPr>
        <w:t xml:space="preserve">This plot contains information on </w:t>
      </w:r>
      <w:r w:rsidR="00B47844">
        <w:rPr>
          <w:color w:val="231F20"/>
        </w:rPr>
        <w:t>our two focus variables, income (in thousands of dollars, along x-axis) and spending score (y-axis). What we may notice first is that the data is far from linear: we cannot simply say that wealthier people are better shoppers at this mall. What we do notice is that this center cluster (in red) is far more populous than any other, meaning most customers have moderate income and are moderate shoppers. Interestingly, almost everyone who earns between $40k-$60k has a spending score of 40-60. This will be useful for predictions in the future. There appear to be two groups who are great shoppers (green and gold</w:t>
      </w:r>
      <w:proofErr w:type="gramStart"/>
      <w:r w:rsidR="00B47844">
        <w:rPr>
          <w:color w:val="231F20"/>
        </w:rPr>
        <w:t>)</w:t>
      </w:r>
      <w:proofErr w:type="gramEnd"/>
      <w:r w:rsidR="00B47844">
        <w:rPr>
          <w:color w:val="231F20"/>
        </w:rPr>
        <w:t xml:space="preserve"> and we might be interested in rewarding them with more benefits. The groups in pink and blue might represent customers who are dissatisfied, and we can try to approach them as well to try to convince them to stay. </w:t>
      </w:r>
    </w:p>
    <w:p w14:paraId="7FF1759B" w14:textId="77777777" w:rsidR="003852C0" w:rsidRDefault="003852C0" w:rsidP="00AB5AA9">
      <w:pPr>
        <w:autoSpaceDE w:val="0"/>
        <w:autoSpaceDN w:val="0"/>
        <w:adjustRightInd w:val="0"/>
        <w:spacing w:after="0"/>
        <w:rPr>
          <w:color w:val="231F20"/>
        </w:rPr>
      </w:pPr>
    </w:p>
    <w:p w14:paraId="599F3090" w14:textId="0C57ACA1" w:rsidR="003852C0" w:rsidRDefault="003852C0" w:rsidP="003852C0">
      <w:pPr>
        <w:autoSpaceDE w:val="0"/>
        <w:autoSpaceDN w:val="0"/>
        <w:adjustRightInd w:val="0"/>
        <w:spacing w:after="0"/>
        <w:jc w:val="center"/>
        <w:rPr>
          <w:color w:val="231F20"/>
        </w:rPr>
      </w:pPr>
      <w:r>
        <w:rPr>
          <w:noProof/>
          <w:color w:val="231F20"/>
        </w:rPr>
        <w:drawing>
          <wp:inline distT="0" distB="0" distL="0" distR="0" wp14:anchorId="6CF62ADD" wp14:editId="30F7BF0E">
            <wp:extent cx="4115703" cy="36153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7286" cy="3616706"/>
                    </a:xfrm>
                    <a:prstGeom prst="rect">
                      <a:avLst/>
                    </a:prstGeom>
                    <a:noFill/>
                    <a:ln>
                      <a:noFill/>
                    </a:ln>
                  </pic:spPr>
                </pic:pic>
              </a:graphicData>
            </a:graphic>
          </wp:inline>
        </w:drawing>
      </w:r>
    </w:p>
    <w:p w14:paraId="4744109E" w14:textId="77777777" w:rsidR="003852C0" w:rsidRDefault="003852C0" w:rsidP="00AB5AA9">
      <w:pPr>
        <w:autoSpaceDE w:val="0"/>
        <w:autoSpaceDN w:val="0"/>
        <w:adjustRightInd w:val="0"/>
        <w:spacing w:after="0"/>
        <w:rPr>
          <w:color w:val="231F20"/>
        </w:rPr>
      </w:pPr>
    </w:p>
    <w:p w14:paraId="07154052" w14:textId="1BAC1DAA" w:rsidR="00F71B18" w:rsidRDefault="003852C0" w:rsidP="00AB5AA9">
      <w:pPr>
        <w:autoSpaceDE w:val="0"/>
        <w:autoSpaceDN w:val="0"/>
        <w:adjustRightInd w:val="0"/>
        <w:spacing w:after="0"/>
        <w:rPr>
          <w:color w:val="231F20"/>
        </w:rPr>
      </w:pPr>
      <w:r>
        <w:rPr>
          <w:color w:val="231F20"/>
        </w:rPr>
        <w:t xml:space="preserve">Note that if we decided to go with more clusters, say </w:t>
      </w:r>
      <m:oMath>
        <m:r>
          <w:rPr>
            <w:rFonts w:ascii="Cambria Math" w:hAnsi="Cambria Math"/>
            <w:color w:val="231F20"/>
          </w:rPr>
          <m:t>k=8</m:t>
        </m:r>
      </m:oMath>
      <w:r>
        <w:rPr>
          <w:color w:val="231F20"/>
        </w:rPr>
        <w:t xml:space="preserve">, then three new clusters are formed, and two might be of particular interest, being the red and grey ones. Since these represent wealthier individuals, we might pay more attention to them when deciding to offer rewards or benefits. </w:t>
      </w:r>
    </w:p>
    <w:p w14:paraId="29FE3BFD" w14:textId="19501442" w:rsidR="00F71B18" w:rsidRDefault="00F71B18" w:rsidP="00AB5AA9">
      <w:pPr>
        <w:autoSpaceDE w:val="0"/>
        <w:autoSpaceDN w:val="0"/>
        <w:adjustRightInd w:val="0"/>
        <w:spacing w:after="0"/>
        <w:rPr>
          <w:color w:val="231F20"/>
        </w:rPr>
      </w:pPr>
    </w:p>
    <w:p w14:paraId="7741AB73" w14:textId="2A1FC31E" w:rsidR="00F71B18" w:rsidRDefault="00F71B18" w:rsidP="00AB5AA9">
      <w:pPr>
        <w:autoSpaceDE w:val="0"/>
        <w:autoSpaceDN w:val="0"/>
        <w:adjustRightInd w:val="0"/>
        <w:spacing w:after="0"/>
        <w:rPr>
          <w:color w:val="231F20"/>
        </w:rPr>
      </w:pPr>
    </w:p>
    <w:p w14:paraId="1F8D1584" w14:textId="027F249A" w:rsidR="00043266" w:rsidRDefault="00043266" w:rsidP="00AB5AA9">
      <w:pPr>
        <w:autoSpaceDE w:val="0"/>
        <w:autoSpaceDN w:val="0"/>
        <w:adjustRightInd w:val="0"/>
        <w:spacing w:after="0"/>
        <w:rPr>
          <w:color w:val="231F20"/>
        </w:rPr>
      </w:pPr>
    </w:p>
    <w:p w14:paraId="62ABCB89" w14:textId="73AC2B53" w:rsidR="00043266" w:rsidRDefault="00043266" w:rsidP="00AB5AA9">
      <w:pPr>
        <w:autoSpaceDE w:val="0"/>
        <w:autoSpaceDN w:val="0"/>
        <w:adjustRightInd w:val="0"/>
        <w:spacing w:after="0"/>
        <w:rPr>
          <w:color w:val="231F20"/>
        </w:rPr>
      </w:pPr>
    </w:p>
    <w:p w14:paraId="2F06F6DB" w14:textId="77777777" w:rsidR="00043266" w:rsidRDefault="00043266" w:rsidP="00AB5AA9">
      <w:pPr>
        <w:autoSpaceDE w:val="0"/>
        <w:autoSpaceDN w:val="0"/>
        <w:adjustRightInd w:val="0"/>
        <w:spacing w:after="0"/>
        <w:rPr>
          <w:color w:val="231F20"/>
        </w:rPr>
      </w:pPr>
    </w:p>
    <w:p w14:paraId="2439E6E2" w14:textId="5C5B23D9" w:rsidR="00F71B18" w:rsidRDefault="00F71B18" w:rsidP="00AB5AA9">
      <w:pPr>
        <w:autoSpaceDE w:val="0"/>
        <w:autoSpaceDN w:val="0"/>
        <w:adjustRightInd w:val="0"/>
        <w:spacing w:after="0"/>
        <w:rPr>
          <w:color w:val="231F20"/>
        </w:rPr>
      </w:pPr>
    </w:p>
    <w:p w14:paraId="2F7B1B11" w14:textId="1CDC353D" w:rsidR="00F71B18" w:rsidRPr="003C48AD" w:rsidRDefault="00F71B18" w:rsidP="00AB5AA9">
      <w:pPr>
        <w:autoSpaceDE w:val="0"/>
        <w:autoSpaceDN w:val="0"/>
        <w:adjustRightInd w:val="0"/>
        <w:spacing w:after="0"/>
        <w:rPr>
          <w:color w:val="231F20"/>
        </w:rPr>
      </w:pPr>
      <w:r>
        <w:rPr>
          <w:color w:val="231F20"/>
        </w:rPr>
        <w:t>References:</w:t>
      </w:r>
    </w:p>
    <w:p w14:paraId="0DD8E26E" w14:textId="1A65A4C0" w:rsidR="00F71B18" w:rsidRDefault="00F71B18" w:rsidP="00F71B18">
      <w:pPr>
        <w:spacing w:before="100" w:beforeAutospacing="1" w:after="100" w:afterAutospacing="1" w:line="480" w:lineRule="auto"/>
        <w:ind w:left="720" w:hanging="720"/>
        <w:rPr>
          <w:rFonts w:eastAsia="Times New Roman"/>
          <w:szCs w:val="24"/>
        </w:rPr>
      </w:pPr>
      <w:r w:rsidRPr="003D3FC6">
        <w:rPr>
          <w:rFonts w:eastAsia="Times New Roman"/>
          <w:szCs w:val="24"/>
        </w:rPr>
        <w:t xml:space="preserve">Gopal, M. (2020). </w:t>
      </w:r>
      <w:r w:rsidRPr="003D3FC6">
        <w:rPr>
          <w:rFonts w:eastAsia="Times New Roman"/>
          <w:i/>
          <w:iCs/>
          <w:szCs w:val="24"/>
        </w:rPr>
        <w:t>Applied Machine Learning</w:t>
      </w:r>
      <w:r w:rsidRPr="003D3FC6">
        <w:rPr>
          <w:rFonts w:eastAsia="Times New Roman"/>
          <w:szCs w:val="24"/>
        </w:rPr>
        <w:t xml:space="preserve"> (1st ed.) [E-book]. McGraw-Hill Education. </w:t>
      </w:r>
      <w:r w:rsidR="003852C0" w:rsidRPr="003852C0">
        <w:rPr>
          <w:rFonts w:eastAsia="Times New Roman"/>
          <w:szCs w:val="24"/>
        </w:rPr>
        <w:t>https://www.gcumedia.com/digital-resources/mcgraw-hill/2019/applied-machine-learning_1e.php</w:t>
      </w:r>
    </w:p>
    <w:sectPr w:rsidR="00F71B18" w:rsidSect="00BA21B9">
      <w:footerReference w:type="default" r:id="rId14"/>
      <w:headerReference w:type="first" r:id="rId15"/>
      <w:footerReference w:type="first" r:id="rId16"/>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0402" w14:textId="77777777" w:rsidR="006646C2" w:rsidRDefault="006646C2" w:rsidP="00E3078E">
      <w:pPr>
        <w:spacing w:after="0"/>
      </w:pPr>
      <w:r>
        <w:separator/>
      </w:r>
    </w:p>
  </w:endnote>
  <w:endnote w:type="continuationSeparator" w:id="0">
    <w:p w14:paraId="134153B5" w14:textId="77777777" w:rsidR="006646C2" w:rsidRDefault="006646C2" w:rsidP="00E3078E">
      <w:pPr>
        <w:spacing w:after="0"/>
      </w:pPr>
      <w:r>
        <w:continuationSeparator/>
      </w:r>
    </w:p>
  </w:endnote>
  <w:endnote w:type="continuationNotice" w:id="1">
    <w:p w14:paraId="26C9C29C" w14:textId="77777777" w:rsidR="006646C2" w:rsidRDefault="006646C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B6974" w14:textId="67D4D9D0" w:rsidR="004B104A" w:rsidRPr="00723B6D" w:rsidRDefault="004B104A" w:rsidP="004B104A">
    <w:pPr>
      <w:jc w:val="center"/>
    </w:pPr>
    <w:r w:rsidRPr="00723B6D">
      <w:t xml:space="preserve">© </w:t>
    </w:r>
    <w:r>
      <w:fldChar w:fldCharType="begin"/>
    </w:r>
    <w:r>
      <w:instrText xml:space="preserve"> DATE  \@ "yyyy"  \* MERGEFORMAT </w:instrText>
    </w:r>
    <w:r>
      <w:fldChar w:fldCharType="separate"/>
    </w:r>
    <w:r w:rsidR="00604F58">
      <w:rPr>
        <w:noProof/>
      </w:rPr>
      <w:t>2021</w:t>
    </w:r>
    <w:r>
      <w:fldChar w:fldCharType="end"/>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637F1" w14:textId="39ED2D9E" w:rsidR="00723B6D" w:rsidRDefault="00723B6D" w:rsidP="00BA21B9">
    <w:pPr>
      <w:jc w:val="center"/>
    </w:pPr>
    <w:r w:rsidRPr="00723B6D">
      <w:t xml:space="preserve">© </w:t>
    </w:r>
    <w:r w:rsidR="00DE6F18">
      <w:fldChar w:fldCharType="begin"/>
    </w:r>
    <w:r w:rsidR="00DE6F18">
      <w:instrText xml:space="preserve"> DATE  \@ "yyyy"  \* MERGEFORMAT </w:instrText>
    </w:r>
    <w:r w:rsidR="00DE6F18">
      <w:fldChar w:fldCharType="separate"/>
    </w:r>
    <w:r w:rsidR="00604F58">
      <w:rPr>
        <w:noProof/>
      </w:rPr>
      <w:t>2021</w:t>
    </w:r>
    <w:r w:rsidR="00DE6F18">
      <w:fldChar w:fldCharType="end"/>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BA304" w14:textId="77777777" w:rsidR="006646C2" w:rsidRDefault="006646C2" w:rsidP="00E3078E">
      <w:pPr>
        <w:spacing w:after="0"/>
      </w:pPr>
      <w:r>
        <w:separator/>
      </w:r>
    </w:p>
  </w:footnote>
  <w:footnote w:type="continuationSeparator" w:id="0">
    <w:p w14:paraId="7815ACA6" w14:textId="77777777" w:rsidR="006646C2" w:rsidRDefault="006646C2" w:rsidP="00E3078E">
      <w:pPr>
        <w:spacing w:after="0"/>
      </w:pPr>
      <w:r>
        <w:continuationSeparator/>
      </w:r>
    </w:p>
  </w:footnote>
  <w:footnote w:type="continuationNotice" w:id="1">
    <w:p w14:paraId="30EF7DE8" w14:textId="77777777" w:rsidR="006646C2" w:rsidRDefault="006646C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CBF4" w14:textId="09891059" w:rsidR="00723B6D" w:rsidRDefault="00723B6D">
    <w:pPr>
      <w:pStyle w:val="Header"/>
    </w:pPr>
    <w:r>
      <w:rPr>
        <w:noProof/>
      </w:rPr>
      <w:drawing>
        <wp:inline distT="0" distB="0" distL="0" distR="0" wp14:anchorId="3886E29F" wp14:editId="29B0B086">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6A44DA2E" w14:textId="77777777" w:rsidR="00BA21B9" w:rsidRPr="00BA21B9" w:rsidRDefault="00BA21B9">
    <w:pPr>
      <w:pStyle w:val="Header"/>
      <w:rPr>
        <w:sz w:val="16"/>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43F"/>
    <w:multiLevelType w:val="multilevel"/>
    <w:tmpl w:val="F364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BE6970"/>
    <w:multiLevelType w:val="hybridMultilevel"/>
    <w:tmpl w:val="A65A4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425DD"/>
    <w:multiLevelType w:val="multilevel"/>
    <w:tmpl w:val="7372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B5391"/>
    <w:multiLevelType w:val="multilevel"/>
    <w:tmpl w:val="505AE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714B3E"/>
    <w:multiLevelType w:val="multilevel"/>
    <w:tmpl w:val="A8B25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5950231"/>
    <w:multiLevelType w:val="multilevel"/>
    <w:tmpl w:val="A4664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2B0C86"/>
    <w:multiLevelType w:val="multilevel"/>
    <w:tmpl w:val="68C27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304989"/>
    <w:multiLevelType w:val="hybridMultilevel"/>
    <w:tmpl w:val="A372B5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FE4F9C"/>
    <w:multiLevelType w:val="hybridMultilevel"/>
    <w:tmpl w:val="2C9A64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jIwMLUwMTC0NDNX0lEKTi0uzszPAykwrAUAkKd8LywAAAA="/>
  </w:docVars>
  <w:rsids>
    <w:rsidRoot w:val="00E737D1"/>
    <w:rsid w:val="0000633F"/>
    <w:rsid w:val="000310F3"/>
    <w:rsid w:val="00043266"/>
    <w:rsid w:val="000465AC"/>
    <w:rsid w:val="00086331"/>
    <w:rsid w:val="00091310"/>
    <w:rsid w:val="000B3382"/>
    <w:rsid w:val="000B622B"/>
    <w:rsid w:val="001B2756"/>
    <w:rsid w:val="001E1EE4"/>
    <w:rsid w:val="001E7DD3"/>
    <w:rsid w:val="001F5AD5"/>
    <w:rsid w:val="002125F9"/>
    <w:rsid w:val="002202C2"/>
    <w:rsid w:val="00221BD3"/>
    <w:rsid w:val="00233CD3"/>
    <w:rsid w:val="002706AB"/>
    <w:rsid w:val="00276D89"/>
    <w:rsid w:val="0029109F"/>
    <w:rsid w:val="00295C2F"/>
    <w:rsid w:val="002A0DF6"/>
    <w:rsid w:val="002A3A3D"/>
    <w:rsid w:val="002C72F8"/>
    <w:rsid w:val="002E6C08"/>
    <w:rsid w:val="00361CC4"/>
    <w:rsid w:val="00362184"/>
    <w:rsid w:val="003852C0"/>
    <w:rsid w:val="003A363D"/>
    <w:rsid w:val="003B2508"/>
    <w:rsid w:val="003C48AD"/>
    <w:rsid w:val="003D339E"/>
    <w:rsid w:val="003F0A11"/>
    <w:rsid w:val="003F235F"/>
    <w:rsid w:val="004125A1"/>
    <w:rsid w:val="00454146"/>
    <w:rsid w:val="00465373"/>
    <w:rsid w:val="00465599"/>
    <w:rsid w:val="00492050"/>
    <w:rsid w:val="004B104A"/>
    <w:rsid w:val="004E59F7"/>
    <w:rsid w:val="004F11D6"/>
    <w:rsid w:val="00517F6F"/>
    <w:rsid w:val="005270E5"/>
    <w:rsid w:val="00533118"/>
    <w:rsid w:val="00535971"/>
    <w:rsid w:val="00543782"/>
    <w:rsid w:val="0055210F"/>
    <w:rsid w:val="00560DE8"/>
    <w:rsid w:val="00561B11"/>
    <w:rsid w:val="00563F04"/>
    <w:rsid w:val="00592EC5"/>
    <w:rsid w:val="005B58DC"/>
    <w:rsid w:val="005B5939"/>
    <w:rsid w:val="005D688D"/>
    <w:rsid w:val="006048A8"/>
    <w:rsid w:val="00604F58"/>
    <w:rsid w:val="00633171"/>
    <w:rsid w:val="006423C4"/>
    <w:rsid w:val="006646C2"/>
    <w:rsid w:val="00673C2C"/>
    <w:rsid w:val="00675C76"/>
    <w:rsid w:val="00695152"/>
    <w:rsid w:val="006A6142"/>
    <w:rsid w:val="006B7B81"/>
    <w:rsid w:val="006C3991"/>
    <w:rsid w:val="006D01F8"/>
    <w:rsid w:val="006D4A51"/>
    <w:rsid w:val="006D7F0D"/>
    <w:rsid w:val="006E2D29"/>
    <w:rsid w:val="006E3723"/>
    <w:rsid w:val="006E37E8"/>
    <w:rsid w:val="006E6E92"/>
    <w:rsid w:val="00717984"/>
    <w:rsid w:val="00723B6D"/>
    <w:rsid w:val="00770C9D"/>
    <w:rsid w:val="00790F09"/>
    <w:rsid w:val="00796E7C"/>
    <w:rsid w:val="007A4D8D"/>
    <w:rsid w:val="007A7FF0"/>
    <w:rsid w:val="007C456F"/>
    <w:rsid w:val="007D1BE3"/>
    <w:rsid w:val="007F090F"/>
    <w:rsid w:val="008134F8"/>
    <w:rsid w:val="0083399A"/>
    <w:rsid w:val="008558D9"/>
    <w:rsid w:val="00865F48"/>
    <w:rsid w:val="008C2F5E"/>
    <w:rsid w:val="008E5DD4"/>
    <w:rsid w:val="008F22A4"/>
    <w:rsid w:val="00916D19"/>
    <w:rsid w:val="009177AC"/>
    <w:rsid w:val="009607BC"/>
    <w:rsid w:val="009853F9"/>
    <w:rsid w:val="009A6029"/>
    <w:rsid w:val="009B4787"/>
    <w:rsid w:val="009F04ED"/>
    <w:rsid w:val="009F6C41"/>
    <w:rsid w:val="00A10090"/>
    <w:rsid w:val="00A312D5"/>
    <w:rsid w:val="00A32808"/>
    <w:rsid w:val="00A3748E"/>
    <w:rsid w:val="00A53549"/>
    <w:rsid w:val="00A8471B"/>
    <w:rsid w:val="00AB2761"/>
    <w:rsid w:val="00AB2AA0"/>
    <w:rsid w:val="00AB5AA9"/>
    <w:rsid w:val="00AD01DD"/>
    <w:rsid w:val="00AD236C"/>
    <w:rsid w:val="00AE30FC"/>
    <w:rsid w:val="00B0795C"/>
    <w:rsid w:val="00B32491"/>
    <w:rsid w:val="00B43341"/>
    <w:rsid w:val="00B45043"/>
    <w:rsid w:val="00B47844"/>
    <w:rsid w:val="00B71977"/>
    <w:rsid w:val="00B8170A"/>
    <w:rsid w:val="00BA21B9"/>
    <w:rsid w:val="00BD5403"/>
    <w:rsid w:val="00BD5716"/>
    <w:rsid w:val="00BF6B5C"/>
    <w:rsid w:val="00C16584"/>
    <w:rsid w:val="00C41924"/>
    <w:rsid w:val="00C4454C"/>
    <w:rsid w:val="00C6364D"/>
    <w:rsid w:val="00C6373A"/>
    <w:rsid w:val="00C82F11"/>
    <w:rsid w:val="00C957CA"/>
    <w:rsid w:val="00CB3DCC"/>
    <w:rsid w:val="00CD720E"/>
    <w:rsid w:val="00D078DF"/>
    <w:rsid w:val="00D135E6"/>
    <w:rsid w:val="00D21F69"/>
    <w:rsid w:val="00D2581D"/>
    <w:rsid w:val="00D3317C"/>
    <w:rsid w:val="00D56996"/>
    <w:rsid w:val="00D57B2A"/>
    <w:rsid w:val="00D76C82"/>
    <w:rsid w:val="00D83E89"/>
    <w:rsid w:val="00D93063"/>
    <w:rsid w:val="00DC16D0"/>
    <w:rsid w:val="00DD18BF"/>
    <w:rsid w:val="00DE6F18"/>
    <w:rsid w:val="00DF4021"/>
    <w:rsid w:val="00E3078E"/>
    <w:rsid w:val="00E416AE"/>
    <w:rsid w:val="00E43E8D"/>
    <w:rsid w:val="00E737D1"/>
    <w:rsid w:val="00E82A2B"/>
    <w:rsid w:val="00E91BB7"/>
    <w:rsid w:val="00F01D39"/>
    <w:rsid w:val="00F6465C"/>
    <w:rsid w:val="00F71B18"/>
    <w:rsid w:val="00F94CC8"/>
    <w:rsid w:val="00FD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C9076"/>
  <w15:docId w15:val="{567DD099-3E9A-4D76-A0D7-50412C96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paragraph" w:styleId="ListParagraph">
    <w:name w:val="List Paragraph"/>
    <w:basedOn w:val="Normal"/>
    <w:uiPriority w:val="34"/>
    <w:qFormat/>
    <w:rsid w:val="00E737D1"/>
    <w:pPr>
      <w:ind w:left="720"/>
      <w:contextualSpacing/>
    </w:pPr>
  </w:style>
  <w:style w:type="character" w:styleId="CommentReference">
    <w:name w:val="annotation reference"/>
    <w:basedOn w:val="DefaultParagraphFont"/>
    <w:uiPriority w:val="99"/>
    <w:semiHidden/>
    <w:unhideWhenUsed/>
    <w:rsid w:val="003F0A11"/>
    <w:rPr>
      <w:sz w:val="16"/>
      <w:szCs w:val="16"/>
    </w:rPr>
  </w:style>
  <w:style w:type="paragraph" w:styleId="CommentText">
    <w:name w:val="annotation text"/>
    <w:basedOn w:val="Normal"/>
    <w:link w:val="CommentTextChar"/>
    <w:uiPriority w:val="99"/>
    <w:semiHidden/>
    <w:unhideWhenUsed/>
    <w:rsid w:val="003F0A11"/>
    <w:rPr>
      <w:sz w:val="20"/>
      <w:szCs w:val="20"/>
    </w:rPr>
  </w:style>
  <w:style w:type="character" w:customStyle="1" w:styleId="CommentTextChar">
    <w:name w:val="Comment Text Char"/>
    <w:basedOn w:val="DefaultParagraphFont"/>
    <w:link w:val="CommentText"/>
    <w:uiPriority w:val="99"/>
    <w:semiHidden/>
    <w:rsid w:val="003F0A11"/>
  </w:style>
  <w:style w:type="paragraph" w:styleId="CommentSubject">
    <w:name w:val="annotation subject"/>
    <w:basedOn w:val="CommentText"/>
    <w:next w:val="CommentText"/>
    <w:link w:val="CommentSubjectChar"/>
    <w:uiPriority w:val="99"/>
    <w:semiHidden/>
    <w:unhideWhenUsed/>
    <w:rsid w:val="003F0A11"/>
    <w:rPr>
      <w:b/>
      <w:bCs/>
    </w:rPr>
  </w:style>
  <w:style w:type="character" w:customStyle="1" w:styleId="CommentSubjectChar">
    <w:name w:val="Comment Subject Char"/>
    <w:basedOn w:val="CommentTextChar"/>
    <w:link w:val="CommentSubject"/>
    <w:uiPriority w:val="99"/>
    <w:semiHidden/>
    <w:rsid w:val="003F0A11"/>
    <w:rPr>
      <w:b/>
      <w:bCs/>
    </w:rPr>
  </w:style>
  <w:style w:type="character" w:styleId="Hyperlink">
    <w:name w:val="Hyperlink"/>
    <w:basedOn w:val="DefaultParagraphFont"/>
    <w:uiPriority w:val="99"/>
    <w:unhideWhenUsed/>
    <w:rsid w:val="006D7F0D"/>
    <w:rPr>
      <w:color w:val="0000FF" w:themeColor="hyperlink"/>
      <w:u w:val="single"/>
    </w:rPr>
  </w:style>
  <w:style w:type="character" w:styleId="UnresolvedMention">
    <w:name w:val="Unresolved Mention"/>
    <w:basedOn w:val="DefaultParagraphFont"/>
    <w:uiPriority w:val="99"/>
    <w:semiHidden/>
    <w:unhideWhenUsed/>
    <w:rsid w:val="00A53549"/>
    <w:rPr>
      <w:color w:val="605E5C"/>
      <w:shd w:val="clear" w:color="auto" w:fill="E1DFDD"/>
    </w:rPr>
  </w:style>
  <w:style w:type="paragraph" w:styleId="NormalWeb">
    <w:name w:val="Normal (Web)"/>
    <w:basedOn w:val="Normal"/>
    <w:uiPriority w:val="99"/>
    <w:semiHidden/>
    <w:unhideWhenUsed/>
    <w:rsid w:val="00560DE8"/>
    <w:pPr>
      <w:spacing w:before="100" w:beforeAutospacing="1" w:after="100" w:afterAutospacing="1"/>
    </w:pPr>
    <w:rPr>
      <w:rFonts w:eastAsia="Times New Roman"/>
      <w:szCs w:val="24"/>
    </w:rPr>
  </w:style>
  <w:style w:type="character" w:customStyle="1" w:styleId="ls132">
    <w:name w:val="ls132"/>
    <w:basedOn w:val="DefaultParagraphFont"/>
    <w:rsid w:val="00D57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53827">
      <w:bodyDiv w:val="1"/>
      <w:marLeft w:val="0"/>
      <w:marRight w:val="0"/>
      <w:marTop w:val="0"/>
      <w:marBottom w:val="0"/>
      <w:divBdr>
        <w:top w:val="none" w:sz="0" w:space="0" w:color="auto"/>
        <w:left w:val="none" w:sz="0" w:space="0" w:color="auto"/>
        <w:bottom w:val="none" w:sz="0" w:space="0" w:color="auto"/>
        <w:right w:val="none" w:sz="0" w:space="0" w:color="auto"/>
      </w:divBdr>
    </w:div>
    <w:div w:id="337542125">
      <w:bodyDiv w:val="1"/>
      <w:marLeft w:val="0"/>
      <w:marRight w:val="0"/>
      <w:marTop w:val="0"/>
      <w:marBottom w:val="0"/>
      <w:divBdr>
        <w:top w:val="none" w:sz="0" w:space="0" w:color="auto"/>
        <w:left w:val="none" w:sz="0" w:space="0" w:color="auto"/>
        <w:bottom w:val="none" w:sz="0" w:space="0" w:color="auto"/>
        <w:right w:val="none" w:sz="0" w:space="0" w:color="auto"/>
      </w:divBdr>
    </w:div>
    <w:div w:id="421995346">
      <w:bodyDiv w:val="1"/>
      <w:marLeft w:val="0"/>
      <w:marRight w:val="0"/>
      <w:marTop w:val="0"/>
      <w:marBottom w:val="0"/>
      <w:divBdr>
        <w:top w:val="none" w:sz="0" w:space="0" w:color="auto"/>
        <w:left w:val="none" w:sz="0" w:space="0" w:color="auto"/>
        <w:bottom w:val="none" w:sz="0" w:space="0" w:color="auto"/>
        <w:right w:val="none" w:sz="0" w:space="0" w:color="auto"/>
      </w:divBdr>
    </w:div>
    <w:div w:id="705373552">
      <w:bodyDiv w:val="1"/>
      <w:marLeft w:val="0"/>
      <w:marRight w:val="0"/>
      <w:marTop w:val="0"/>
      <w:marBottom w:val="0"/>
      <w:divBdr>
        <w:top w:val="none" w:sz="0" w:space="0" w:color="auto"/>
        <w:left w:val="none" w:sz="0" w:space="0" w:color="auto"/>
        <w:bottom w:val="none" w:sz="0" w:space="0" w:color="auto"/>
        <w:right w:val="none" w:sz="0" w:space="0" w:color="auto"/>
      </w:divBdr>
    </w:div>
    <w:div w:id="745419769">
      <w:bodyDiv w:val="1"/>
      <w:marLeft w:val="0"/>
      <w:marRight w:val="0"/>
      <w:marTop w:val="0"/>
      <w:marBottom w:val="0"/>
      <w:divBdr>
        <w:top w:val="none" w:sz="0" w:space="0" w:color="auto"/>
        <w:left w:val="none" w:sz="0" w:space="0" w:color="auto"/>
        <w:bottom w:val="none" w:sz="0" w:space="0" w:color="auto"/>
        <w:right w:val="none" w:sz="0" w:space="0" w:color="auto"/>
      </w:divBdr>
    </w:div>
    <w:div w:id="769206973">
      <w:bodyDiv w:val="1"/>
      <w:marLeft w:val="0"/>
      <w:marRight w:val="0"/>
      <w:marTop w:val="0"/>
      <w:marBottom w:val="0"/>
      <w:divBdr>
        <w:top w:val="none" w:sz="0" w:space="0" w:color="auto"/>
        <w:left w:val="none" w:sz="0" w:space="0" w:color="auto"/>
        <w:bottom w:val="none" w:sz="0" w:space="0" w:color="auto"/>
        <w:right w:val="none" w:sz="0" w:space="0" w:color="auto"/>
      </w:divBdr>
    </w:div>
    <w:div w:id="852911727">
      <w:bodyDiv w:val="1"/>
      <w:marLeft w:val="0"/>
      <w:marRight w:val="0"/>
      <w:marTop w:val="0"/>
      <w:marBottom w:val="0"/>
      <w:divBdr>
        <w:top w:val="none" w:sz="0" w:space="0" w:color="auto"/>
        <w:left w:val="none" w:sz="0" w:space="0" w:color="auto"/>
        <w:bottom w:val="none" w:sz="0" w:space="0" w:color="auto"/>
        <w:right w:val="none" w:sz="0" w:space="0" w:color="auto"/>
      </w:divBdr>
    </w:div>
    <w:div w:id="1020665717">
      <w:bodyDiv w:val="1"/>
      <w:marLeft w:val="0"/>
      <w:marRight w:val="0"/>
      <w:marTop w:val="0"/>
      <w:marBottom w:val="0"/>
      <w:divBdr>
        <w:top w:val="none" w:sz="0" w:space="0" w:color="auto"/>
        <w:left w:val="none" w:sz="0" w:space="0" w:color="auto"/>
        <w:bottom w:val="none" w:sz="0" w:space="0" w:color="auto"/>
        <w:right w:val="none" w:sz="0" w:space="0" w:color="auto"/>
      </w:divBdr>
    </w:div>
    <w:div w:id="1318916760">
      <w:bodyDiv w:val="1"/>
      <w:marLeft w:val="0"/>
      <w:marRight w:val="0"/>
      <w:marTop w:val="0"/>
      <w:marBottom w:val="0"/>
      <w:divBdr>
        <w:top w:val="none" w:sz="0" w:space="0" w:color="auto"/>
        <w:left w:val="none" w:sz="0" w:space="0" w:color="auto"/>
        <w:bottom w:val="none" w:sz="0" w:space="0" w:color="auto"/>
        <w:right w:val="none" w:sz="0" w:space="0" w:color="auto"/>
      </w:divBdr>
    </w:div>
    <w:div w:id="1341079493">
      <w:bodyDiv w:val="1"/>
      <w:marLeft w:val="0"/>
      <w:marRight w:val="0"/>
      <w:marTop w:val="0"/>
      <w:marBottom w:val="0"/>
      <w:divBdr>
        <w:top w:val="none" w:sz="0" w:space="0" w:color="auto"/>
        <w:left w:val="none" w:sz="0" w:space="0" w:color="auto"/>
        <w:bottom w:val="none" w:sz="0" w:space="0" w:color="auto"/>
        <w:right w:val="none" w:sz="0" w:space="0" w:color="auto"/>
      </w:divBdr>
    </w:div>
    <w:div w:id="1783265728">
      <w:bodyDiv w:val="1"/>
      <w:marLeft w:val="0"/>
      <w:marRight w:val="0"/>
      <w:marTop w:val="0"/>
      <w:marBottom w:val="0"/>
      <w:divBdr>
        <w:top w:val="none" w:sz="0" w:space="0" w:color="auto"/>
        <w:left w:val="none" w:sz="0" w:space="0" w:color="auto"/>
        <w:bottom w:val="none" w:sz="0" w:space="0" w:color="auto"/>
        <w:right w:val="none" w:sz="0" w:space="0" w:color="auto"/>
      </w:divBdr>
    </w:div>
    <w:div w:id="183769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785F2ABF-E568-4914-B235-0E40F01069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Lydia Bowls</dc:creator>
  <cp:keywords/>
  <cp:lastModifiedBy>Brendan Turner</cp:lastModifiedBy>
  <cp:revision>7</cp:revision>
  <dcterms:created xsi:type="dcterms:W3CDTF">2021-05-12T07:45:00Z</dcterms:created>
  <dcterms:modified xsi:type="dcterms:W3CDTF">2021-05-12T08:41:00Z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0x01010022A2D19B44CEB84096BF732DE0C55A0F</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53;#Final|6f457c8b-ccb5-4072-8baa-3cf0535225f3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