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E.L.F Beauty has been a beauty staple in the US for several years. According to the CEO in his letter to the shareholders, “ delivering on our mission to make the best of beauty accessible to every eye, lip and face.” They are a household name,</w:t>
      </w:r>
      <w:r w:rsidDel="00000000" w:rsidR="00000000" w:rsidRPr="00000000">
        <w:rPr>
          <w:rtl w:val="0"/>
        </w:rPr>
        <w:t xml:space="preserve"> “continue[ing] to deliver industry-leading results, putting e.l.f. Beauty in a rarified group – 1 of 6 public consumer companies out of 546 — to experience 25 consecutive quarters of both net sales and market share growth.” E.L.F Beauty’s brands include, e.l.f. Cosmetics, e.l.f. SKIN, Naturium, Well People and Keys Soulcare. Since its inception , the company has prided themselves on being an affordable and cruelty free brand,  and that shows in the retails they partner with, including Target, Walmart, Ulta Beauty, Amazon, allowing them to ship both domestically and internationally.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 first glance, if you look at their total assets between March of last year and March of this year, you will see a growth. Looking at things like their cash/cash equivalents, it has grown slightly since last year. However, looking at the bigger picture, it seems like there is a dip in multiple avenues. For example, when looking at the finances of the goodwill investments or the intangible assets, you can see a slight dip. There can be multiple reasons for this, possibly due to the acquisition, or the recent tariffs that were brought on by the current presidential administration. When taking a look at the big picture, E.L.F’s financials are doing well in comparison to last year.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E.L.F continues to expand their branding and reach across different platforms. For example, in the CEO’s  letter to the stakeholders, he mentions that they have initiatives like the“Change the Board Game initiative to expand corporate boards to include more voices”. They also partner with many Women in Sports partnerships and initiatives. And finally, he mentions supporting major female figures such as astronaut and activist Amanda Nguyen. Breaking into these different female dominated spaces creates strong brand awareness, and shows a sense of care for the community. In the 10-K report, they emphasize the importance of their ‘one-team’ approach, and how their employee happiness is a top priority. They value company culture, and keeping employees happy, which in turn creates more productivity for E.L.F. They also maintain their stance on remaining an affordable brand by keeping their average price point of their products at  $6.50.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One business decision that was made was to not solely focus on one supplier for their raw materials. Since the tariffs on China that were set in place by the current administration, some companies have taken a hit with their profits due to the increased cost in materials. E.L.F mentions in the 10K Report that they have suppliers not only from China but also Thailand, Taiwan and Europe. They give E.L.F buyer power and allow them to keep their products relatively low compared to their competitors. Being a mass market brand is also beneficial in how they distribute their products. As mentioned before, they use domestic retailers such as Target and Amazon which allows them to reach a very broad audience. They also have their own e-commerce, which allows for both domestic and international reach.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One major business risk that happens with any industry is the success of a new product launch. As mentioned in the 10K report, “ The beauty industry is driven in part by fashion and beauty trends, which may shift quickly. Our continued success depends on our ability to anticipate, gauge and react in a timely and cost-effective manner to changes in consumer preferences for beauty products, consumer attitudes toward our industry and brands and where and how consumers shop for those products.” The opportunity here is to continue to embrace and utilize new technology to breed innovative products. Also, leaning into consumer feedback and trends can be a massive help to the various brands under E.L.F. Another major risk is acquiring a new brand, in this case rhode.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202122"/>
          <w:sz w:val="24"/>
          <w:szCs w:val="24"/>
        </w:rPr>
      </w:pPr>
      <w:r w:rsidDel="00000000" w:rsidR="00000000" w:rsidRPr="00000000">
        <w:rPr>
          <w:rtl w:val="0"/>
        </w:rPr>
        <w:t xml:space="preserve">Although E.L.F is a household name, no business rises to fame without challenges along the way. As mentioned in the “</w:t>
      </w:r>
      <w:r w:rsidDel="00000000" w:rsidR="00000000" w:rsidRPr="00000000">
        <w:rPr>
          <w:rtl w:val="0"/>
        </w:rPr>
        <w:t xml:space="preserve">Summary of Material Risks Associated With Our Business” there are a few examples of some risks for E.L.F, including the competitive nature of the beauty industry in and of itself, the fact because a significant portion of their operations are in China they may suffer financially due to the tariffs and that their recent acquisition of rhode can hurt them financially if it doesn’t perform well in stores. Acquiring a new brand can disrupt financials. There could be a myriad of risks, including unknown liabilities the company had prior to the acquisition, which could hurt E.L.F’s reputation, the ability to integrate key executives and employees from rhode over to E.L.F, and potential financial strains that acquiring the brand could incur (i.e. having to bring on rhoda’s legal and accounting teams).</w:t>
      </w:r>
      <w:r w:rsidDel="00000000" w:rsidR="00000000" w:rsidRPr="00000000">
        <w:rPr>
          <w:rtl w:val="0"/>
        </w:rPr>
      </w:r>
    </w:p>
    <w:p w:rsidR="00000000" w:rsidDel="00000000" w:rsidP="00000000" w:rsidRDefault="00000000" w:rsidRPr="00000000" w14:paraId="0000000C">
      <w:pPr>
        <w:ind w:left="0" w:firstLine="0"/>
        <w:rPr>
          <w:color w:val="202122"/>
          <w:sz w:val="24"/>
          <w:szCs w:val="24"/>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