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09160" w14:textId="77777777" w:rsidR="00ED7985" w:rsidRDefault="00000000">
      <w:pPr>
        <w:pStyle w:val="Title"/>
      </w:pPr>
      <w:r>
        <w:t>SecAudit Overview and Market Use Cases — 29 October 2026</w:t>
      </w:r>
    </w:p>
    <w:p w14:paraId="0FC5C8C0" w14:textId="77777777" w:rsidR="00ED7985" w:rsidRDefault="00000000">
      <w:r>
        <w:t>Current product capabilities, boundaries and potential use cases</w:t>
      </w:r>
    </w:p>
    <w:p w14:paraId="31B31C0F" w14:textId="77777777" w:rsidR="00ED7985" w:rsidRDefault="00000000">
      <w:r>
        <w:t>Purpose: describe the current SecAudit desktop application, its verified functions and limits, and realistic opportunities for controlled adoption.</w:t>
      </w:r>
    </w:p>
    <w:p>
      <w:r>
        <w:rPr>
          <w:b/>
        </w:rPr>
        <w:t xml:space="preserve">Revision, 29 October 2026:</w:t>
      </w:r>
      <w:r>
        <w:t xml:space="preserve"> adds a scored evaluation against the commercial products in the supplied screenshots, an independent check of the signed evidence pack, and the current technical documentation as Appendices A to E.</w:t>
      </w:r>
    </w:p>
    <w:p w14:paraId="3F4828AA" w14:textId="77777777" w:rsidR="00ED7985" w:rsidRDefault="00000000">
      <w:pPr>
        <w:pStyle w:val="Heading1"/>
      </w:pPr>
      <w:r>
        <w:rPr>
          <w:rFonts w:ascii="Aptos" w:hAnsi="Aptos"/>
          <w:b w:val="0"/>
          <w:color w:val="222222"/>
          <w:sz w:val="21"/>
        </w:rPr>
        <w:t>Executive view</w:t>
      </w:r>
    </w:p>
    <w:p w14:paraId="4E4CEAF5" w14:textId="77777777" w:rsidR="00ED7985" w:rsidRDefault="00000000">
      <w:r>
        <w:t>SecAudit is a native PyQt6 desktop application for bounded, read-only security review. It combines local code-pattern checks, optional Semgrep and ClamAV in the full audit flow, explicitly scoped lab-tool adapters, file-trust evidence, reports and optional Local or explicitly disclosed Cloud model assistance. Dev Toolkit Batch Review is a separate local workflow; it does not run Semgrep or ClamAV and shows both as NOT RUN. SecAudit does not execute supplied files or claim that a completed scan proves a target safe.</w:t>
      </w:r>
    </w:p>
    <w:p w14:paraId="77DE93BD" w14:textId="77777777" w:rsidR="00ED7985" w:rsidRDefault="00000000">
      <w:r>
        <w:t>SecAudit is best positioned as a practical pre-production and pre-onboarding review aid. It can help a team inspect selected source, configuration, scripts or packages and run separately confirmed checks against authorised lab targets. It is not a replacement for managed detection and response, a full red-team engagement, secure-development governance or legal/insurance advice.</w:t>
      </w:r>
    </w:p>
    <w:p w14:paraId="30D6B897" w14:textId="77777777" w:rsidR="00ED7985" w:rsidRDefault="00000000">
      <w:pPr>
        <w:pStyle w:val="Heading1"/>
      </w:pPr>
      <w:r>
        <w:rPr>
          <w:rFonts w:ascii="Aptos" w:hAnsi="Aptos"/>
          <w:b w:val="0"/>
          <w:color w:val="222222"/>
          <w:sz w:val="21"/>
        </w:rPr>
        <w:t>What SecAudit is</w:t>
      </w:r>
    </w:p>
    <w:p w14:paraId="3874474E" w14:textId="77777777" w:rsidR="00ED7985" w:rsidRDefault="00000000">
      <w:pPr>
        <w:pStyle w:val="ListBullet"/>
        <w:spacing w:after="60"/>
      </w:pPr>
      <w:r>
        <w:t>A local-first desktop workbench for explicitly selected files and folders, with separate, confirmed workflows for authorised lab targets.</w:t>
      </w:r>
    </w:p>
    <w:p w14:paraId="5FE05BFE" w14:textId="77777777" w:rsidR="00ED7985" w:rsidRDefault="00000000">
      <w:pPr>
        <w:pStyle w:val="ListBullet"/>
        <w:spacing w:after="60"/>
      </w:pPr>
      <w:r>
        <w:t>A transparent wrapper around deterministic local checks and optional verified tools: source-pattern review, Semgrep, ClamAV, Windows signature evidence and fixed-argument lab adapters when installed.</w:t>
      </w:r>
    </w:p>
    <w:p w14:paraId="3D360540" w14:textId="77777777" w:rsidR="00ED7985" w:rsidRDefault="00000000">
      <w:pPr>
        <w:pStyle w:val="ListBullet"/>
        <w:spacing w:after="60"/>
      </w:pPr>
      <w:r>
        <w:t>A scope-enforcing application: file and folder audits require user selection and confirmation; network-capable adapters require an explicit authorised target and allow-list validation.</w:t>
      </w:r>
    </w:p>
    <w:p w14:paraId="5C744A41" w14:textId="77777777" w:rsidR="00ED7985" w:rsidRDefault="00000000">
      <w:pPr>
        <w:pStyle w:val="ListBullet"/>
        <w:spacing w:after="60"/>
      </w:pPr>
      <w:r>
        <w:t>An evidence and reporting tool that preserves scanner status, coverage, bounded evidence, SARIF exports and optional signed, hash-linked report packs. Static fix re-checks report still detected, not reproduced or inconclusive; they do not prove remediation.</w:t>
      </w:r>
    </w:p>
    <w:p w14:paraId="74518FEE" w14:textId="77777777" w:rsidR="00ED7985" w:rsidRDefault="00000000">
      <w:pPr>
        <w:pStyle w:val="ListBullet"/>
        <w:spacing w:after="60"/>
      </w:pPr>
      <w:r>
        <w:t>A teaching and prototyping platform that helps students, developers, analysts and reviewers practise repeatable, evidence-led security review.</w:t>
      </w:r>
    </w:p>
    <w:p w14:paraId="780B8203" w14:textId="77777777" w:rsidR="00ED7985" w:rsidRDefault="00000000">
      <w:pPr>
        <w:pStyle w:val="Heading1"/>
      </w:pPr>
      <w:r>
        <w:rPr>
          <w:rFonts w:ascii="Aptos" w:hAnsi="Aptos"/>
          <w:b w:val="0"/>
          <w:color w:val="222222"/>
          <w:sz w:val="21"/>
        </w:rPr>
        <w:t>What SecAudit is not</w:t>
      </w:r>
    </w:p>
    <w:p w14:paraId="6C87A44C" w14:textId="77777777" w:rsidR="00ED7985" w:rsidRDefault="00000000">
      <w:pPr>
        <w:pStyle w:val="ListBullet"/>
        <w:spacing w:after="60"/>
      </w:pPr>
      <w:r>
        <w:t>It is not permission to scan public websites, unrelated networks, personal devices or third-party systems.</w:t>
      </w:r>
    </w:p>
    <w:p w14:paraId="2AB6F783" w14:textId="77777777" w:rsidR="00ED7985" w:rsidRDefault="00000000">
      <w:pPr>
        <w:pStyle w:val="ListBullet"/>
        <w:spacing w:after="60"/>
      </w:pPr>
      <w:r>
        <w:t>It is not an autonomous attack agent and does not allow a model to invent commands, widen scope or erase scanner evidence.</w:t>
      </w:r>
    </w:p>
    <w:p w14:paraId="484238D4" w14:textId="77777777" w:rsidR="00ED7985" w:rsidRDefault="00000000">
      <w:pPr>
        <w:pStyle w:val="ListBullet"/>
        <w:spacing w:after="60"/>
      </w:pPr>
      <w:r>
        <w:t>It is not a guarantee that a target is safe. Missing tools, NOT RUN checks, unsupported or over-limit files, timeouts, partial coverage and model uncertainty remain visible.</w:t>
      </w:r>
    </w:p>
    <w:p w14:paraId="2F8AE77F" w14:textId="77777777" w:rsidR="00ED7985" w:rsidRDefault="00000000">
      <w:pPr>
        <w:pStyle w:val="ListBullet"/>
        <w:spacing w:after="60"/>
      </w:pPr>
      <w:r>
        <w:t>It is not a cloud XDR, SIEM or 24-hour monitoring service. It is designed for controlled review and evidence production.</w:t>
      </w:r>
    </w:p>
    <w:p w14:paraId="7EDFBBBD" w14:textId="77777777" w:rsidR="00ED7985" w:rsidRDefault="00000000">
      <w:pPr>
        <w:pStyle w:val="ListBullet"/>
        <w:spacing w:after="60"/>
      </w:pPr>
      <w:r>
        <w:t>It is not a substitute for secure code review, threat modelling, penetration-test authorisation, incident response or professional legal advice.</w:t>
      </w:r>
    </w:p>
    <w:p w14:paraId="6832423C" w14:textId="77777777" w:rsidR="00ED7985" w:rsidRDefault="00000000">
      <w:pPr>
        <w:pStyle w:val="ListBullet"/>
        <w:spacing w:after="60"/>
      </w:pPr>
      <w:r>
        <w:t>It is not an employee background-check or hiring-decision engine. It can support a technical package review before onboarding, but people decisions require separate fair and lawful processes.</w:t>
      </w:r>
    </w:p>
    <w:p w14:paraId="6B23EC4F" w14:textId="77777777" w:rsidR="00ED7985" w:rsidRDefault="00000000">
      <w:pPr>
        <w:pStyle w:val="Heading1"/>
      </w:pPr>
      <w:r>
        <w:rPr>
          <w:rFonts w:ascii="Aptos" w:hAnsi="Aptos"/>
          <w:b w:val="0"/>
          <w:color w:val="222222"/>
          <w:sz w:val="21"/>
        </w:rPr>
        <w:lastRenderedPageBreak/>
        <w:t>Core rules and operating boundaries</w:t>
      </w:r>
    </w:p>
    <w:tbl>
      <w:tblPr>
        <w:tblStyle w:val="TableGrid"/>
        <w:tblW w:w="0" w:type="auto"/>
        <w:jc w:val="center"/>
        <w:tblLook w:val="04A0" w:firstRow="1" w:lastRow="0" w:firstColumn="1" w:lastColumn="0" w:noHBand="0" w:noVBand="1"/>
      </w:tblPr>
      <w:tblGrid>
        <w:gridCol w:w="2165"/>
        <w:gridCol w:w="8069"/>
      </w:tblGrid>
      <w:tr w:rsidR="00ED7985" w14:paraId="6D25F3B5" w14:textId="77777777">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14:paraId="5C2D7DD8" w14:textId="77777777" w:rsidR="00ED7985" w:rsidRDefault="00000000">
            <w:r>
              <w:rPr>
                <w:b/>
                <w:color w:val="FFFFFF"/>
                <w:sz w:val="18"/>
              </w:rPr>
              <w:t>Rule</w:t>
            </w:r>
          </w:p>
        </w:tc>
        <w:tc>
          <w:tcPr>
            <w:tcW w:w="8568"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14:paraId="5841BE14" w14:textId="77777777" w:rsidR="00ED7985" w:rsidRDefault="00000000">
            <w:r>
              <w:rPr>
                <w:b/>
                <w:color w:val="FFFFFF"/>
                <w:sz w:val="18"/>
              </w:rPr>
              <w:t>How SecAudit applies it</w:t>
            </w:r>
          </w:p>
        </w:tc>
      </w:tr>
      <w:tr w:rsidR="00ED7985" w14:paraId="4075B6C2" w14:textId="77777777">
        <w:trPr>
          <w:jc w:val="center"/>
        </w:trPr>
        <w:tc>
          <w:tcPr>
            <w:tcW w:w="22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Explicit scope</w:t>
            </w:r>
          </w:p>
        </w:tc>
        <w:tc>
          <w:tcPr>
            <w:tcW w:w="85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The operator selects and confirms source paths before an audit. Network adapters require a separately selected and confirmed authorised target.</w:t>
            </w:r>
          </w:p>
        </w:tc>
      </w:tr>
      <w:tr w:rsidR="00ED7985" w14:paraId="44BE03E0"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Allow-list enforcement</w:t>
            </w:r>
          </w:p>
        </w:tc>
        <w:tc>
          <w:tcPr>
            <w:tcW w:w="856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The active lab-tool runner checks explicit lab_targets.txt scope; file scans do not infer targets from filenames, findings or model requests.</w:t>
            </w:r>
          </w:p>
        </w:tc>
      </w:tr>
      <w:tr w:rsidR="00ED7985" w14:paraId="3DB4B939" w14:textId="77777777">
        <w:trPr>
          <w:jc w:val="center"/>
        </w:trPr>
        <w:tc>
          <w:tcPr>
            <w:tcW w:w="22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Local deterministic execution</w:t>
            </w:r>
          </w:p>
        </w:tc>
        <w:tc>
          <w:tcPr>
            <w:tcW w:w="85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Fixed executable paths, argument arrays, bounded time/output and no shell-string target execution. Models cannot select tools or commands.</w:t>
            </w:r>
          </w:p>
        </w:tc>
      </w:tr>
      <w:tr w:rsidR="00ED7985" w14:paraId="26CCA2D8"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Honest availability</w:t>
            </w:r>
          </w:p>
        </w:tc>
        <w:tc>
          <w:tcPr>
            <w:tcW w:w="856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Tool availability is based on actual executable/version checks; unavailable, skipped and NOT RUN checks are not reported as clean.</w:t>
            </w:r>
          </w:p>
        </w:tc>
      </w:tr>
      <w:tr w:rsidR="00ED7985" w14:paraId="25E7FA17" w14:textId="77777777">
        <w:trPr>
          <w:jc w:val="center"/>
        </w:trPr>
        <w:tc>
          <w:tcPr>
            <w:tcW w:w="22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Read-only by default</w:t>
            </w:r>
          </w:p>
        </w:tc>
        <w:tc>
          <w:tcPr>
            <w:tcW w:w="85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Selected content is inspected, not executed or modified. ClamAV quarantine is a separate confirmed action with hash checks and no-overwrite restore.</w:t>
            </w:r>
          </w:p>
        </w:tc>
      </w:tr>
      <w:tr w:rsidR="00ED7985" w14:paraId="1FE3B204"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Untrusted evidence</w:t>
            </w:r>
          </w:p>
        </w:tc>
        <w:tc>
          <w:tcPr>
            <w:tcW w:w="856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Source, scanner output and model output are data. Model explanations cannot erase scanner detections or authorize actions.</w:t>
            </w:r>
          </w:p>
        </w:tc>
      </w:tr>
      <w:tr w:rsidR="00ED7985" w14:paraId="524DFC27" w14:textId="77777777">
        <w:trPr>
          <w:jc w:val="center"/>
        </w:trPr>
        <w:tc>
          <w:tcPr>
            <w:tcW w:w="22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Provider separation</w:t>
            </w:r>
          </w:p>
        </w:tc>
        <w:tc>
          <w:tcPr>
            <w:tcW w:w="85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Local and Cloud routes are exclusive. Cloud evidence requires disclosure confirmation; failures do not silently fall back.</w:t>
            </w:r>
          </w:p>
        </w:tc>
      </w:tr>
      <w:tr w:rsidR="00ED7985" w14:paraId="77230B6C"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Auditability</w:t>
            </w:r>
          </w:p>
        </w:tc>
        <w:tc>
          <w:tcPr>
            <w:tcW w:w="856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Reports retain scope, check status, limits and partial failures. Local journals flag interrupted work for scope review and confirmation.</w:t>
            </w:r>
          </w:p>
        </w:tc>
      </w:tr>
    </w:tbl>
    <w:p w14:paraId="167A15DD" w14:textId="77777777" w:rsidR="00ED7985" w:rsidRDefault="00ED7985">
      <w:pPr>
        <w:spacing w:after="20"/>
      </w:pPr>
    </w:p>
    <w:p w14:paraId="64A57ADA" w14:textId="77777777" w:rsidR="00ED7985" w:rsidRDefault="00000000">
      <w:r>
        <w:br w:type="page"/>
      </w:r>
    </w:p>
    <w:p w14:paraId="3B66E68C" w14:textId="77777777" w:rsidR="00ED7985" w:rsidRDefault="00000000">
      <w:pPr>
        <w:pStyle w:val="Heading1"/>
      </w:pPr>
      <w:r>
        <w:rPr>
          <w:rFonts w:ascii="Aptos" w:hAnsi="Aptos"/>
          <w:b w:val="0"/>
          <w:color w:val="222222"/>
          <w:sz w:val="21"/>
        </w:rPr>
        <w:lastRenderedPageBreak/>
        <w:t>Functions and practical outputs</w:t>
      </w:r>
    </w:p>
    <w:tbl>
      <w:tblPr>
        <w:tblStyle w:val="TableGrid"/>
        <w:tblW w:w="0" w:type="auto"/>
        <w:jc w:val="center"/>
        <w:tblLook w:val="04A0" w:firstRow="1" w:lastRow="0" w:firstColumn="1" w:lastColumn="0" w:noHBand="0" w:noVBand="1"/>
      </w:tblPr>
      <w:tblGrid>
        <w:gridCol w:w="2052"/>
        <w:gridCol w:w="4474"/>
        <w:gridCol w:w="3708"/>
      </w:tblGrid>
      <w:tr w:rsidR="00ED7985" w14:paraId="197CA16E" w14:textId="77777777">
        <w:trPr>
          <w:tblHeader/>
          <w:jc w:val="center"/>
        </w:trPr>
        <w:tc>
          <w:tcPr>
            <w:tcW w:w="2131"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14:paraId="75A74B2B" w14:textId="77777777" w:rsidR="00ED7985" w:rsidRDefault="00000000">
            <w:r>
              <w:rPr>
                <w:b/>
                <w:color w:val="FFFFFF"/>
                <w:sz w:val="18"/>
              </w:rPr>
              <w:t>Function</w:t>
            </w:r>
          </w:p>
        </w:tc>
        <w:tc>
          <w:tcPr>
            <w:tcW w:w="4752"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14:paraId="2DFBA74F" w14:textId="77777777" w:rsidR="00ED7985" w:rsidRDefault="00000000">
            <w:r>
              <w:rPr>
                <w:b/>
                <w:color w:val="FFFFFF"/>
                <w:sz w:val="18"/>
              </w:rPr>
              <w:t>Practical output</w:t>
            </w:r>
          </w:p>
        </w:tc>
        <w:tc>
          <w:tcPr>
            <w:tcW w:w="3917"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14:paraId="2A4E50C0" w14:textId="77777777" w:rsidR="00ED7985" w:rsidRDefault="00000000">
            <w:r>
              <w:rPr>
                <w:b/>
                <w:color w:val="FFFFFF"/>
                <w:sz w:val="18"/>
              </w:rPr>
              <w:t>Primary value</w:t>
            </w:r>
          </w:p>
        </w:tc>
      </w:tr>
      <w:tr w:rsidR="00ED7985" w14:paraId="1B666950" w14:textId="77777777">
        <w:trPr>
          <w:jc w:val="center"/>
        </w:trPr>
        <w:tc>
          <w:tcPr>
            <w:tcW w:w="21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Dev Toolkit Batch Review</w:t>
            </w:r>
          </w:p>
        </w:tc>
        <w:tc>
          <w:tcPr>
            <w:tcW w:w="47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Bounded local static findings for up to 200 files (4 MiB per file, 64 MiB total), read in 64 KiB chunks, with argument-aware behavior, correlation, redacted excerpts and per-file coverage. Semgrep/ClamAV are NOT RUN here.</w:t>
            </w:r>
          </w:p>
        </w:tc>
        <w:tc>
          <w:tcPr>
            <w:tcW w:w="391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A traceable first-pass review without executing supplied files.</w:t>
            </w:r>
          </w:p>
        </w:tc>
      </w:tr>
      <w:tr w:rsidR="00ED7985" w14:paraId="0826C9F9" w14:textId="77777777">
        <w:trPr>
          <w:jc w:val="center"/>
        </w:trPr>
        <w:tc>
          <w:tcPr>
            <w:tcW w:w="2131"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Full folder audit</w:t>
            </w:r>
          </w:p>
        </w:tc>
        <w:tc>
          <w:tcPr>
            <w:tcW w:w="475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Selected-scope checks with optional Semgrep, ClamAV and model review; reports identify checks that ran, were unavailable or were skipped.</w:t>
            </w:r>
          </w:p>
        </w:tc>
        <w:tc>
          <w:tcPr>
            <w:tcW w:w="3917"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One report with honest coverage and limits.</w:t>
            </w:r>
          </w:p>
        </w:tc>
      </w:tr>
      <w:tr w:rsidR="00ED7985" w14:paraId="5C3619C7" w14:textId="77777777">
        <w:trPr>
          <w:jc w:val="center"/>
        </w:trPr>
        <w:tc>
          <w:tcPr>
            <w:tcW w:w="21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Authorised lab tools</w:t>
            </w:r>
          </w:p>
        </w:tc>
        <w:tc>
          <w:tcPr>
            <w:tcW w:w="47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Fixed local adapters and arguments, verified executables, explicit target allow-list and per-run confirmation.</w:t>
            </w:r>
          </w:p>
        </w:tc>
        <w:tc>
          <w:tcPr>
            <w:tcW w:w="391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Repeatable testing inside a deliberately approved lab scope.</w:t>
            </w:r>
          </w:p>
        </w:tc>
      </w:tr>
      <w:tr w:rsidR="00ED7985" w14:paraId="1BC80C79" w14:textId="77777777">
        <w:trPr>
          <w:jc w:val="center"/>
        </w:trPr>
        <w:tc>
          <w:tcPr>
            <w:tcW w:w="2131"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Static fix re-check</w:t>
            </w:r>
          </w:p>
        </w:tc>
        <w:tc>
          <w:tcPr>
            <w:tcW w:w="475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Re-runs scanner-only checks against the saved confirmed scope and reports still detected, not reproduced or inconclusive.</w:t>
            </w:r>
          </w:p>
        </w:tc>
        <w:tc>
          <w:tcPr>
            <w:tcW w:w="3917"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Prevents a disappeared pattern from being described as a verified fix.</w:t>
            </w:r>
          </w:p>
        </w:tc>
      </w:tr>
      <w:tr w:rsidR="00ED7985" w14:paraId="348DC0BF" w14:textId="77777777">
        <w:trPr>
          <w:jc w:val="center"/>
        </w:trPr>
        <w:tc>
          <w:tcPr>
            <w:tcW w:w="21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App-level offline mode</w:t>
            </w:r>
          </w:p>
        </w:tc>
        <w:tc>
          <w:tcPr>
            <w:tcW w:w="47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Blocks app-initiated Cloud, public search, non-loopback models, remote Semgrep rule resolution, model pulls and signature downloads.</w:t>
            </w:r>
          </w:p>
        </w:tc>
        <w:tc>
          <w:tcPr>
            <w:tcW w:w="391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Reduces application-initiated network use; it is not an OS firewall or proof of an air gap.</w:t>
            </w:r>
          </w:p>
        </w:tc>
      </w:tr>
      <w:tr w:rsidR="00ED7985" w14:paraId="4B3F1228" w14:textId="77777777">
        <w:trPr>
          <w:jc w:val="center"/>
        </w:trPr>
        <w:tc>
          <w:tcPr>
            <w:tcW w:w="2131"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File Trust Evidence</w:t>
            </w:r>
          </w:p>
        </w:tc>
        <w:tc>
          <w:tcPr>
            <w:tcW w:w="475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Bounded hashes, published-checksum comparison, offline Windows signature checks and content indicators where supported.</w:t>
            </w:r>
          </w:p>
        </w:tc>
        <w:tc>
          <w:tcPr>
            <w:tcW w:w="3917"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Adds provenance evidence without executing an artifact.</w:t>
            </w:r>
          </w:p>
        </w:tc>
      </w:tr>
      <w:tr w:rsidR="00ED7985" w14:paraId="2E48534F" w14:textId="77777777">
        <w:trPr>
          <w:jc w:val="center"/>
        </w:trPr>
        <w:tc>
          <w:tcPr>
            <w:tcW w:w="21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Evidence pack and SARIF</w:t>
            </w:r>
          </w:p>
        </w:tc>
        <w:tc>
          <w:tcPr>
            <w:tcW w:w="47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Exports redacted reports and SARIF; optional passphrase-protected signing and local hash-chain verification support integrity and provenance only.</w:t>
            </w:r>
          </w:p>
        </w:tc>
        <w:tc>
          <w:tcPr>
            <w:tcW w:w="391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Preserves review evidence; it does not provide compliance certification or trusted identity by itself.</w:t>
            </w:r>
          </w:p>
        </w:tc>
      </w:tr>
      <w:tr w:rsidR="00ED7985" w14:paraId="27C565BD" w14:textId="77777777">
        <w:trPr>
          <w:jc w:val="center"/>
        </w:trPr>
        <w:tc>
          <w:tcPr>
            <w:tcW w:w="2131"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Assistant and memory</w:t>
            </w:r>
          </w:p>
        </w:tc>
        <w:tc>
          <w:tcPr>
            <w:tcW w:w="475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Optional exclusive Local or disclosed Cloud model routes; redacted local summary memory and selected-report context.</w:t>
            </w:r>
          </w:p>
        </w:tc>
        <w:tc>
          <w:tcPr>
            <w:tcW w:w="3917"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Explains evidence while keeping scanners authoritative.</w:t>
            </w:r>
          </w:p>
        </w:tc>
      </w:tr>
      <w:tr w:rsidR="00ED7985" w14:paraId="14E8ED8C" w14:textId="77777777">
        <w:trPr>
          <w:jc w:val="center"/>
        </w:trPr>
        <w:tc>
          <w:tcPr>
            <w:tcW w:w="21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Reports and analyst follow-up</w:t>
            </w:r>
          </w:p>
        </w:tc>
        <w:tc>
          <w:tcPr>
            <w:tcW w:w="47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Coverage, findings and details views; separately confirmed ClamAV quarantine/restore with hash checks and no-overwrite behavior.</w:t>
            </w:r>
          </w:p>
        </w:tc>
        <w:tc>
          <w:tcPr>
            <w:tcW w:w="391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Supports review and controlled follow-up without automatic file changes.</w:t>
            </w:r>
          </w:p>
        </w:tc>
      </w:tr>
    </w:tbl>
    <w:p w14:paraId="46EDC5FC" w14:textId="77777777" w:rsidR="00ED7985" w:rsidRDefault="00ED7985">
      <w:pPr>
        <w:spacing w:after="20"/>
      </w:pPr>
    </w:p>
    <w:p w14:paraId="2AD1423E" w14:textId="77777777" w:rsidR="00ED7985" w:rsidRDefault="00000000">
      <w:pPr>
        <w:pStyle w:val="Heading2"/>
      </w:pPr>
      <w:r>
        <w:rPr>
          <w:rFonts w:ascii="Aptos" w:hAnsi="Aptos"/>
          <w:b w:val="0"/>
          <w:color w:val="222222"/>
          <w:sz w:val="21"/>
        </w:rPr>
        <w:t>Supported local tool roles</w:t>
      </w:r>
    </w:p>
    <w:tbl>
      <w:tblPr>
        <w:tblStyle w:val="TableGrid"/>
        <w:tblW w:w="0" w:type="auto"/>
        <w:jc w:val="center"/>
        <w:tblLook w:val="04A0" w:firstRow="1" w:lastRow="0" w:firstColumn="1" w:lastColumn="0" w:noHBand="0" w:noVBand="1"/>
      </w:tblPr>
      <w:tblGrid>
        <w:gridCol w:w="2436"/>
        <w:gridCol w:w="4245"/>
        <w:gridCol w:w="3553"/>
      </w:tblGrid>
      <w:tr w:rsidR="00ED7985" w14:paraId="6123F34E" w14:textId="77777777">
        <w:trPr>
          <w:tblHeade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14:paraId="38E71B5E" w14:textId="77777777" w:rsidR="00ED7985" w:rsidRDefault="00000000">
            <w:r>
              <w:rPr>
                <w:b/>
                <w:color w:val="FFFFFF"/>
                <w:sz w:val="18"/>
              </w:rPr>
              <w:t>Tool family</w:t>
            </w:r>
          </w:p>
        </w:tc>
        <w:tc>
          <w:tcPr>
            <w:tcW w:w="4536"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14:paraId="1511ACA2" w14:textId="77777777" w:rsidR="00ED7985" w:rsidRDefault="00000000">
            <w:r>
              <w:rPr>
                <w:b/>
                <w:color w:val="FFFFFF"/>
                <w:sz w:val="18"/>
              </w:rPr>
              <w:t>Use in SecAudit</w:t>
            </w:r>
          </w:p>
        </w:tc>
        <w:tc>
          <w:tcPr>
            <w:tcW w:w="3744"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14:paraId="62188144" w14:textId="77777777" w:rsidR="00ED7985" w:rsidRDefault="00000000">
            <w:r>
              <w:rPr>
                <w:b/>
                <w:color w:val="FFFFFF"/>
                <w:sz w:val="18"/>
              </w:rPr>
              <w:t>Important boundary</w:t>
            </w:r>
          </w:p>
        </w:tc>
      </w:tr>
      <w:tr w:rsidR="00ED7985" w14:paraId="3051591D" w14:textId="77777777">
        <w:trPr>
          <w:jc w:val="center"/>
        </w:trPr>
        <w:tc>
          <w:tcPr>
            <w:tcW w:w="25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Semgrep</w:t>
            </w:r>
          </w:p>
        </w:tc>
        <w:tc>
          <w:tcPr>
            <w:tcW w:w="453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Optional local static analysis in the full audit flow.</w:t>
            </w:r>
          </w:p>
        </w:tc>
        <w:tc>
          <w:tcPr>
            <w:tcW w:w="37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Batch Review reports NOT RUN; missing tools/rules are never represented as clean.</w:t>
            </w:r>
          </w:p>
        </w:tc>
      </w:tr>
      <w:tr w:rsidR="00ED7985" w14:paraId="1648991B" w14:textId="77777777">
        <w:trP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ClamAV</w:t>
            </w:r>
          </w:p>
        </w:tc>
        <w:tc>
          <w:tcPr>
            <w:tcW w:w="453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Optional local malware-signature scan and confirmed quarantine workflow.</w:t>
            </w:r>
          </w:p>
        </w:tc>
        <w:tc>
          <w:tcPr>
            <w:tcW w:w="37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Batch Review reports NOT RUN; stale or missing signatures are not a clean result.</w:t>
            </w:r>
          </w:p>
        </w:tc>
      </w:tr>
      <w:tr w:rsidR="00ED7985" w14:paraId="329DE317" w14:textId="77777777">
        <w:trPr>
          <w:jc w:val="center"/>
        </w:trPr>
        <w:tc>
          <w:tcPr>
            <w:tcW w:w="25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Fixed lab adapters</w:t>
            </w:r>
          </w:p>
        </w:tc>
        <w:tc>
          <w:tcPr>
            <w:tcW w:w="453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Available tools are checked by real executable path/version and run with fixed arguments.</w:t>
            </w:r>
          </w:p>
        </w:tc>
        <w:tc>
          <w:tcPr>
            <w:tcW w:w="37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Network activity requires an explicitly allow-listed target and user confirmation.</w:t>
            </w:r>
          </w:p>
        </w:tc>
      </w:tr>
      <w:tr w:rsidR="00ED7985" w14:paraId="63AD3A5C" w14:textId="77777777">
        <w:trP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Windows trust checks</w:t>
            </w:r>
          </w:p>
        </w:tc>
        <w:tc>
          <w:tcPr>
            <w:tcW w:w="453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Offline Authenticode evidence for supported selected files.</w:t>
            </w:r>
          </w:p>
        </w:tc>
        <w:tc>
          <w:tcPr>
            <w:tcW w:w="37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A valid signature is not a safety verdict; archive-contained signatures are not fully verified.</w:t>
            </w:r>
          </w:p>
        </w:tc>
      </w:tr>
      <w:tr w:rsidR="00ED7985" w14:paraId="6A3F90F7" w14:textId="77777777">
        <w:trPr>
          <w:jc w:val="center"/>
        </w:trPr>
        <w:tc>
          <w:tcPr>
            <w:tcW w:w="25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AI models</w:t>
            </w:r>
          </w:p>
        </w:tc>
        <w:tc>
          <w:tcPr>
            <w:tcW w:w="453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Ollama can explain bounded evidence; OpenRouter is exclusive when selected and requires disclosure confirmation.</w:t>
            </w:r>
          </w:p>
        </w:tc>
        <w:tc>
          <w:tcPr>
            <w:tcW w:w="37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Model output is advisory; Cloud errors do not fall back to Local or authorize tools.</w:t>
            </w:r>
          </w:p>
        </w:tc>
      </w:tr>
    </w:tbl>
    <w:p w14:paraId="23A9543C" w14:textId="77777777" w:rsidR="00ED7985" w:rsidRDefault="00ED7985">
      <w:pPr>
        <w:spacing w:after="20"/>
      </w:pPr>
    </w:p>
    <w:p w14:paraId="321148FB" w14:textId="77777777" w:rsidR="00ED7985" w:rsidRDefault="00000000">
      <w:pPr>
        <w:pStyle w:val="Heading1"/>
      </w:pPr>
      <w:r>
        <w:rPr>
          <w:rFonts w:ascii="Aptos" w:hAnsi="Aptos"/>
          <w:b w:val="0"/>
          <w:color w:val="222222"/>
          <w:sz w:val="21"/>
        </w:rPr>
        <w:t>Who is expected to use it</w:t>
      </w:r>
    </w:p>
    <w:tbl>
      <w:tblPr>
        <w:tblStyle w:val="TableGrid"/>
        <w:tblW w:w="0" w:type="auto"/>
        <w:jc w:val="center"/>
        <w:tblLook w:val="04A0" w:firstRow="1" w:lastRow="0" w:firstColumn="1" w:lastColumn="0" w:noHBand="0" w:noVBand="1"/>
      </w:tblPr>
      <w:tblGrid>
        <w:gridCol w:w="3039"/>
        <w:gridCol w:w="7195"/>
      </w:tblGrid>
      <w:tr w:rsidR="00ED7985" w14:paraId="563A5B4B" w14:textId="77777777">
        <w:trPr>
          <w:tblHeader/>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14:paraId="5C298E16" w14:textId="77777777" w:rsidR="00ED7985" w:rsidRDefault="00000000">
            <w:r>
              <w:rPr>
                <w:b/>
                <w:color w:val="FFFFFF"/>
                <w:sz w:val="18"/>
              </w:rPr>
              <w:t>User</w:t>
            </w:r>
          </w:p>
        </w:tc>
        <w:tc>
          <w:tcPr>
            <w:tcW w:w="7632"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14:paraId="413CD814" w14:textId="77777777" w:rsidR="00ED7985" w:rsidRDefault="00000000">
            <w:r>
              <w:rPr>
                <w:b/>
                <w:color w:val="FFFFFF"/>
                <w:sz w:val="18"/>
              </w:rPr>
              <w:t>How they use SecAudit</w:t>
            </w:r>
          </w:p>
        </w:tc>
      </w:tr>
      <w:tr w:rsidR="00ED7985" w14:paraId="727984B3" w14:textId="77777777">
        <w:trPr>
          <w:jc w:val="center"/>
        </w:trPr>
        <w:tc>
          <w:tcPr>
            <w:tcW w:w="31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7CD38E5" w14:textId="77777777" w:rsidR="00ED7985" w:rsidRDefault="00000000">
            <w:pPr>
              <w:spacing w:after="0"/>
            </w:pPr>
            <w:r>
              <w:rPr>
                <w:sz w:val="18"/>
              </w:rPr>
              <w:t>Small-business owner or IT generalist</w:t>
            </w:r>
          </w:p>
        </w:tc>
        <w:tc>
          <w:tcPr>
            <w:tcW w:w="76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70C6B34" w14:textId="77777777" w:rsidR="00ED7985" w:rsidRDefault="00000000">
            <w:pPr>
              <w:spacing w:after="0"/>
            </w:pPr>
            <w:r>
              <w:rPr>
                <w:sz w:val="18"/>
              </w:rPr>
              <w:t>Check a suspicious attachment, installer, script or supplier package before it reaches staff systems.</w:t>
            </w:r>
          </w:p>
        </w:tc>
      </w:tr>
      <w:tr w:rsidR="00ED7985" w14:paraId="037AD8C3" w14:textId="77777777">
        <w:trPr>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3AE4CCED" w14:textId="77777777" w:rsidR="00ED7985" w:rsidRDefault="00000000">
            <w:pPr>
              <w:spacing w:after="0"/>
            </w:pPr>
            <w:r>
              <w:rPr>
                <w:sz w:val="18"/>
              </w:rPr>
              <w:t>Developer or platform engineer</w:t>
            </w:r>
          </w:p>
        </w:tc>
        <w:tc>
          <w:tcPr>
            <w:tcW w:w="763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Use selected-scope static checks, inspect CI/configuration and review advisory remediation; re-check patterns without claiming runtime proof.</w:t>
            </w:r>
          </w:p>
        </w:tc>
      </w:tr>
      <w:tr w:rsidR="00ED7985" w14:paraId="2C1B42AB" w14:textId="77777777">
        <w:trPr>
          <w:jc w:val="center"/>
        </w:trPr>
        <w:tc>
          <w:tcPr>
            <w:tcW w:w="31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ADA7135" w14:textId="77777777" w:rsidR="00ED7985" w:rsidRDefault="00000000">
            <w:pPr>
              <w:spacing w:after="0"/>
            </w:pPr>
            <w:r>
              <w:rPr>
                <w:sz w:val="18"/>
              </w:rPr>
              <w:t>Security analyst</w:t>
            </w:r>
          </w:p>
        </w:tc>
        <w:tc>
          <w:tcPr>
            <w:tcW w:w="76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935B2DA" w14:textId="77777777" w:rsidR="00ED7985" w:rsidRDefault="00000000">
            <w:pPr>
              <w:spacing w:after="0"/>
            </w:pPr>
            <w:r>
              <w:rPr>
                <w:sz w:val="18"/>
              </w:rPr>
              <w:t>Run repeatable lab probes, compare evidence, import external reports as untrusted material and narrow a hypothesis.</w:t>
            </w:r>
          </w:p>
        </w:tc>
      </w:tr>
      <w:tr w:rsidR="00ED7985" w14:paraId="7FF943E6" w14:textId="77777777">
        <w:trPr>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2CD95C0F" w14:textId="77777777" w:rsidR="00ED7985" w:rsidRDefault="00000000">
            <w:pPr>
              <w:spacing w:after="0"/>
            </w:pPr>
            <w:r>
              <w:rPr>
                <w:sz w:val="18"/>
              </w:rPr>
              <w:t>Auditor or compliance lead</w:t>
            </w:r>
          </w:p>
        </w:tc>
        <w:tc>
          <w:tcPr>
            <w:tcW w:w="763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Review scope confirmation, actual tool status, evidence hashes and documented limitations.</w:t>
            </w:r>
          </w:p>
        </w:tc>
      </w:tr>
      <w:tr w:rsidR="00ED7985" w14:paraId="239E7877" w14:textId="77777777">
        <w:trPr>
          <w:jc w:val="center"/>
        </w:trPr>
        <w:tc>
          <w:tcPr>
            <w:tcW w:w="31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8AEBEBA" w14:textId="77777777" w:rsidR="00ED7985" w:rsidRDefault="00000000">
            <w:pPr>
              <w:spacing w:after="0"/>
            </w:pPr>
            <w:r>
              <w:rPr>
                <w:sz w:val="18"/>
              </w:rPr>
              <w:t>Procurement or supplier-risk reviewer</w:t>
            </w:r>
          </w:p>
        </w:tc>
        <w:tc>
          <w:tcPr>
            <w:tcW w:w="76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2D795E7" w14:textId="77777777" w:rsidR="00ED7985" w:rsidRDefault="00000000">
            <w:pPr>
              <w:spacing w:after="0"/>
            </w:pPr>
            <w:r>
              <w:rPr>
                <w:sz w:val="18"/>
              </w:rPr>
              <w:t>Apply a consistent technical intake gate before approving a contractor, package or integration.</w:t>
            </w:r>
          </w:p>
        </w:tc>
      </w:tr>
      <w:tr w:rsidR="00ED7985" w14:paraId="657B384B" w14:textId="77777777">
        <w:trPr>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118033E5" w14:textId="77777777" w:rsidR="00ED7985" w:rsidRDefault="00000000">
            <w:pPr>
              <w:spacing w:after="0"/>
            </w:pPr>
            <w:r>
              <w:rPr>
                <w:sz w:val="18"/>
              </w:rPr>
              <w:t>Cybersecurity student or lecturer</w:t>
            </w:r>
          </w:p>
        </w:tc>
        <w:tc>
          <w:tcPr>
            <w:tcW w:w="763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7E538751" w14:textId="77777777" w:rsidR="00ED7985" w:rsidRDefault="00000000">
            <w:pPr>
              <w:spacing w:after="0"/>
            </w:pPr>
            <w:r>
              <w:rPr>
                <w:sz w:val="18"/>
              </w:rPr>
              <w:t>Learn how scanners differ, why authorisation matters and how evidence supports a conclusion.</w:t>
            </w:r>
          </w:p>
        </w:tc>
      </w:tr>
      <w:tr w:rsidR="00ED7985" w14:paraId="322A56E7" w14:textId="77777777">
        <w:trPr>
          <w:jc w:val="center"/>
        </w:trPr>
        <w:tc>
          <w:tcPr>
            <w:tcW w:w="31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32B777A" w14:textId="77777777" w:rsidR="00ED7985" w:rsidRDefault="00000000">
            <w:pPr>
              <w:spacing w:after="0"/>
            </w:pPr>
            <w:r>
              <w:rPr>
                <w:sz w:val="18"/>
              </w:rPr>
              <w:t>Executive or insurance coordinator</w:t>
            </w:r>
          </w:p>
        </w:tc>
        <w:tc>
          <w:tcPr>
            <w:tcW w:w="76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593622D" w14:textId="77777777" w:rsidR="00ED7985" w:rsidRDefault="00000000">
            <w:pPr>
              <w:spacing w:after="0"/>
            </w:pPr>
            <w:r>
              <w:rPr>
                <w:sz w:val="18"/>
              </w:rPr>
              <w:t>Read a plain-language summary of material risks, owners, due dates and outstanding evidence.</w:t>
            </w:r>
          </w:p>
        </w:tc>
      </w:tr>
    </w:tbl>
    <w:p w14:paraId="1D54ADD1" w14:textId="77777777" w:rsidR="00ED7985" w:rsidRDefault="00ED7985">
      <w:pPr>
        <w:spacing w:after="20"/>
      </w:pPr>
    </w:p>
    <w:p w14:paraId="549CF2DB" w14:textId="77777777" w:rsidR="00ED7985" w:rsidRDefault="00000000">
      <w:r>
        <w:br w:type="page"/>
      </w:r>
    </w:p>
    <w:p w14:paraId="241DA3C9" w14:textId="77777777" w:rsidR="00ED7985" w:rsidRDefault="00000000">
      <w:pPr>
        <w:pStyle w:val="Heading1"/>
      </w:pPr>
      <w:r>
        <w:rPr>
          <w:rFonts w:ascii="Aptos" w:hAnsi="Aptos"/>
          <w:b w:val="0"/>
          <w:color w:val="222222"/>
          <w:sz w:val="21"/>
        </w:rPr>
        <w:lastRenderedPageBreak/>
        <w:t>Corporate use cases and market opportunity</w:t>
      </w:r>
    </w:p>
    <w:p w14:paraId="202122E6" w14:textId="77777777" w:rsidR="00ED7985" w:rsidRDefault="00000000">
      <w:r>
        <w:t>The strongest corporate opportunity is a lower-friction technical review for decisions made before a larger security programme is involved: accepting a prototype, connecting a supplier, opening a package or allowing staff-created automation into a controlled environment. SecAudit can support that review, but it does not certify a supplier or replace procurement and security approval.</w:t>
      </w:r>
    </w:p>
    <w:p w14:paraId="324492F8" w14:textId="77777777" w:rsidR="00ED7985" w:rsidRDefault="00000000">
      <w:pPr>
        <w:pStyle w:val="Heading2"/>
      </w:pPr>
      <w:r>
        <w:rPr>
          <w:rFonts w:ascii="Aptos" w:hAnsi="Aptos"/>
          <w:b w:val="0"/>
          <w:color w:val="222222"/>
          <w:sz w:val="21"/>
        </w:rPr>
        <w:t>Simple testing before hiring or supplier onboarding</w:t>
      </w:r>
    </w:p>
    <w:p w14:paraId="0BC6FD87" w14:textId="77777777" w:rsidR="00ED7985" w:rsidRDefault="00000000">
      <w:r>
        <w:t>A company can request a scoped repository, script, configuration or package for read-only inspection. The full audit may run configured static and malware scanners; Dev Toolkit Batch Review instead uses its local bounded rules and clearly reports Semgrep and ClamAV as NOT RUN. These checks can inform a technical review but do not certify a package, person or supplier.</w:t>
      </w:r>
    </w:p>
    <w:p w14:paraId="6BF8D7D1" w14:textId="77777777" w:rsidR="00ED7985" w:rsidRDefault="00000000">
      <w:pPr>
        <w:pStyle w:val="ListBullet"/>
        <w:spacing w:after="60"/>
      </w:pPr>
      <w:r>
        <w:t>Before hiring: review a deliberately scoped coding sample or automation package without granting production credentials.</w:t>
      </w:r>
    </w:p>
    <w:p w14:paraId="447C5A79" w14:textId="77777777" w:rsidR="00ED7985" w:rsidRDefault="00000000">
      <w:pPr>
        <w:pStyle w:val="ListBullet"/>
        <w:spacing w:after="60"/>
      </w:pPr>
      <w:r>
        <w:t>Before purchase: test a vendor installer or integration bundle in a lab and record the package hash and review decision.</w:t>
      </w:r>
    </w:p>
    <w:p w14:paraId="71A79D02" w14:textId="77777777" w:rsidR="00ED7985" w:rsidRDefault="00000000">
      <w:pPr>
        <w:pStyle w:val="ListBullet"/>
        <w:spacing w:after="60"/>
      </w:pPr>
      <w:r>
        <w:t>Before access: require remediation or a time-limited risk acceptance before a supplier reaches a sensitive environment.</w:t>
      </w:r>
    </w:p>
    <w:p w14:paraId="463F59C0" w14:textId="77777777" w:rsidR="00ED7985" w:rsidRDefault="00000000">
      <w:pPr>
        <w:pStyle w:val="Heading2"/>
      </w:pPr>
      <w:r>
        <w:rPr>
          <w:rFonts w:ascii="Aptos" w:hAnsi="Aptos"/>
          <w:b w:val="0"/>
          <w:color w:val="222222"/>
          <w:sz w:val="21"/>
        </w:rPr>
        <w:t>Prototype and pre-production review</w:t>
      </w:r>
    </w:p>
    <w:p w14:paraId="0762F6B1" w14:textId="77777777" w:rsidR="00ED7985" w:rsidRDefault="00000000">
      <w:r>
        <w:t>Experts can use SecAudit to turn a broad concern into a narrower engineering question. Selected source can be checked with local rules and optional Semgrep; separately, an operator may run a fixed lab adapter against an explicitly authorised target. These are distinct workflows. SecAudit does not detonate supplied files, and static fix re-checks are not runtime proof.</w:t>
      </w:r>
    </w:p>
    <w:p w14:paraId="7A9E92E7" w14:textId="77777777" w:rsidR="00ED7985" w:rsidRDefault="00000000">
      <w:pPr>
        <w:pStyle w:val="Heading2"/>
      </w:pPr>
      <w:r>
        <w:rPr>
          <w:rFonts w:ascii="Aptos" w:hAnsi="Aptos"/>
          <w:b w:val="0"/>
          <w:color w:val="222222"/>
          <w:sz w:val="21"/>
        </w:rPr>
        <w:t>WLAN and private lab review</w:t>
      </w:r>
    </w:p>
    <w:p w14:paraId="3076A75F" w14:textId="77777777" w:rsidR="00ED7985" w:rsidRDefault="00000000">
      <w:r>
        <w:t>For a WLAN or private subnet, an authorised team can use the separate Network workflow to inspect local network details and run the fixed adapters that are available, after confirming the exact allow-listed scope. This is appropriate for a university lab or isolated pilot, not public or third-party WLANs. Production testing requires separate written authorisation, maintenance planning and change control.</w:t>
      </w:r>
    </w:p>
    <w:p w14:paraId="52FFC04D" w14:textId="77777777" w:rsidR="00ED7985" w:rsidRDefault="00000000">
      <w:pPr>
        <w:pStyle w:val="Heading2"/>
      </w:pPr>
      <w:r>
        <w:rPr>
          <w:rFonts w:ascii="Aptos" w:hAnsi="Aptos"/>
          <w:b w:val="0"/>
          <w:color w:val="222222"/>
          <w:sz w:val="21"/>
        </w:rPr>
        <w:t>Where market gain is plausible</w:t>
      </w:r>
    </w:p>
    <w:p w14:paraId="38812D2E" w14:textId="77777777" w:rsidR="00ED7985" w:rsidRDefault="00000000">
      <w:r>
        <w:t>SecAudit has a credible entry point in organisations that need evidence but cannot justify a large XDR or continuous red-team contract for every small decision. Potential buyers include small and mid-sized companies, schools, clinics, local government teams, technology suppliers and internal innovation groups. The most defensible commercial position is a focused product for controlled intake and pre-production assurance, with transparent limits and local processing as differentiators.</w:t>
      </w:r>
    </w:p>
    <w:tbl>
      <w:tblPr>
        <w:tblStyle w:val="TableGrid"/>
        <w:tblW w:w="0" w:type="auto"/>
        <w:jc w:val="center"/>
        <w:tblLook w:val="04A0" w:firstRow="1" w:lastRow="0" w:firstColumn="1" w:lastColumn="0" w:noHBand="0" w:noVBand="1"/>
      </w:tblPr>
      <w:tblGrid>
        <w:gridCol w:w="3337"/>
        <w:gridCol w:w="4011"/>
        <w:gridCol w:w="2886"/>
      </w:tblGrid>
      <w:tr w:rsidR="00ED7985" w14:paraId="55B464A2" w14:textId="77777777">
        <w:trPr>
          <w:tblHeader/>
          <w:jc w:val="center"/>
        </w:trPr>
        <w:tc>
          <w:tcPr>
            <w:tcW w:w="3528"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14:paraId="4EAF0411" w14:textId="77777777" w:rsidR="00ED7985" w:rsidRDefault="00000000">
            <w:r>
              <w:rPr>
                <w:b/>
                <w:color w:val="FFFFFF"/>
                <w:sz w:val="18"/>
              </w:rPr>
              <w:t>Buyer pain</w:t>
            </w:r>
          </w:p>
        </w:tc>
        <w:tc>
          <w:tcPr>
            <w:tcW w:w="4248"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14:paraId="2B3BEF85" w14:textId="77777777" w:rsidR="00ED7985" w:rsidRDefault="00000000">
            <w:r>
              <w:rPr>
                <w:b/>
                <w:color w:val="FFFFFF"/>
                <w:sz w:val="18"/>
              </w:rPr>
              <w:t>SecAudit response</w:t>
            </w:r>
          </w:p>
        </w:tc>
        <w:tc>
          <w:tcPr>
            <w:tcW w:w="3024"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14:paraId="35609802" w14:textId="77777777" w:rsidR="00ED7985" w:rsidRDefault="00000000">
            <w:r>
              <w:rPr>
                <w:b/>
                <w:color w:val="FFFFFF"/>
                <w:sz w:val="18"/>
              </w:rPr>
              <w:t>Commercial signal</w:t>
            </w:r>
          </w:p>
        </w:tc>
      </w:tr>
      <w:tr w:rsidR="00ED7985" w14:paraId="7625FEF6" w14:textId="77777777">
        <w:trPr>
          <w:jc w:val="center"/>
        </w:trPr>
        <w:tc>
          <w:tcPr>
            <w:tcW w:w="35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Security review is too expensive for every small supplier decision.</w:t>
            </w:r>
          </w:p>
        </w:tc>
        <w:tc>
          <w:tcPr>
            <w:tcW w:w="42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A repeatable, bounded local review with explicit limits and coverage.</w:t>
            </w:r>
          </w:p>
        </w:tc>
        <w:tc>
          <w:tcPr>
            <w:tcW w:w="30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Pilot with procurement, IT and a technical reviewer.</w:t>
            </w:r>
          </w:p>
        </w:tc>
      </w:tr>
      <w:tr w:rsidR="00ED7985" w14:paraId="1758B522" w14:textId="77777777">
        <w:trPr>
          <w:jc w:val="center"/>
        </w:trPr>
        <w:tc>
          <w:tcPr>
            <w:tcW w:w="352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Auditors ask for evidence that is scattered across tools.</w:t>
            </w:r>
          </w:p>
        </w:tc>
        <w:tc>
          <w:tcPr>
            <w:tcW w:w="424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Redacted reports, SARIF and optional signed/hash-linked evidence packs.</w:t>
            </w:r>
          </w:p>
        </w:tc>
        <w:tc>
          <w:tcPr>
            <w:tcW w:w="302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Validate evidence handling and retention requirements in a pilot.</w:t>
            </w:r>
          </w:p>
        </w:tc>
      </w:tr>
      <w:tr w:rsidR="00ED7985" w14:paraId="38DAD575" w14:textId="77777777">
        <w:trPr>
          <w:jc w:val="center"/>
        </w:trPr>
        <w:tc>
          <w:tcPr>
            <w:tcW w:w="35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Sensitive code should not be sent to a cloud scanner.</w:t>
            </w:r>
          </w:p>
        </w:tc>
        <w:tc>
          <w:tcPr>
            <w:tcW w:w="42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Local-first review and app-level offline controls, with explicit limitations.</w:t>
            </w:r>
          </w:p>
        </w:tc>
        <w:tc>
          <w:tcPr>
            <w:tcW w:w="30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Enforce network egress outside the application where required.</w:t>
            </w:r>
          </w:p>
        </w:tc>
      </w:tr>
      <w:tr w:rsidR="00ED7985" w14:paraId="0B9D4EC6" w14:textId="77777777">
        <w:trPr>
          <w:jc w:val="center"/>
        </w:trPr>
        <w:tc>
          <w:tcPr>
            <w:tcW w:w="352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Developers need a quick answer before production.</w:t>
            </w:r>
          </w:p>
        </w:tc>
        <w:tc>
          <w:tcPr>
            <w:tcW w:w="424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Static evidence, coverage and advisory explanations for selected source.</w:t>
            </w:r>
          </w:p>
        </w:tc>
        <w:tc>
          <w:tcPr>
            <w:tcW w:w="302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Measure triage time and remediation clarity.</w:t>
            </w:r>
          </w:p>
        </w:tc>
      </w:tr>
      <w:tr w:rsidR="00ED7985" w14:paraId="5BFE23D4" w14:textId="77777777">
        <w:trPr>
          <w:jc w:val="center"/>
        </w:trPr>
        <w:tc>
          <w:tcPr>
            <w:tcW w:w="35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Staff create automation outside central security oversight.</w:t>
            </w:r>
          </w:p>
        </w:tc>
        <w:tc>
          <w:tcPr>
            <w:tcW w:w="42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Bounded static pattern checks for supported selected scripts and configuration.</w:t>
            </w:r>
          </w:p>
        </w:tc>
        <w:tc>
          <w:tcPr>
            <w:tcW w:w="30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Use findings as review leads, not proof of maliciousness.</w:t>
            </w:r>
          </w:p>
        </w:tc>
      </w:tr>
    </w:tbl>
    <w:p w14:paraId="3FB165BD" w14:textId="77777777" w:rsidR="00ED7985" w:rsidRDefault="00ED7985">
      <w:pPr>
        <w:spacing w:after="20"/>
      </w:pPr>
    </w:p>
    <w:p w14:paraId="1398E8D1" w14:textId="77777777" w:rsidR="00ED7985" w:rsidRDefault="00000000">
      <w:r>
        <w:t>This is an opportunity assessment, not a revenue forecast. Market gain depends on tool reliability, evidence quality, support, procurement requirements, legal positioning, integrations and the ability to demonstrate value in a controlled pilot.</w:t>
      </w:r>
    </w:p>
    <w:p w14:paraId="6C2855A4" w14:textId="77777777" w:rsidR="00ED7985" w:rsidRDefault="00000000">
      <w:r>
        <w:br w:type="page"/>
      </w:r>
    </w:p>
    <w:p w14:paraId="626A6BDD" w14:textId="77777777" w:rsidR="00ED7985" w:rsidRDefault="00000000">
      <w:pPr>
        <w:pStyle w:val="Heading1"/>
      </w:pPr>
      <w:r>
        <w:rPr>
          <w:rFonts w:ascii="Aptos" w:hAnsi="Aptos"/>
          <w:b w:val="0"/>
          <w:color w:val="222222"/>
          <w:sz w:val="21"/>
        </w:rPr>
        <w:lastRenderedPageBreak/>
        <w:t>A practical operating workflow</w:t>
      </w:r>
    </w:p>
    <w:tbl>
      <w:tblPr>
        <w:tblStyle w:val="TableGrid"/>
        <w:tblW w:w="0" w:type="auto"/>
        <w:jc w:val="center"/>
        <w:tblLook w:val="04A0" w:firstRow="1" w:lastRow="0" w:firstColumn="1" w:lastColumn="0" w:noHBand="0" w:noVBand="1"/>
      </w:tblPr>
      <w:tblGrid>
        <w:gridCol w:w="1411"/>
        <w:gridCol w:w="5142"/>
        <w:gridCol w:w="3681"/>
      </w:tblGrid>
      <w:tr w:rsidR="00ED7985" w14:paraId="76760124" w14:textId="77777777">
        <w:trPr>
          <w:tblHeade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14:paraId="27B8DDB8" w14:textId="77777777" w:rsidR="00ED7985" w:rsidRDefault="00000000">
            <w:r>
              <w:rPr>
                <w:b/>
                <w:color w:val="FFFFFF"/>
                <w:sz w:val="18"/>
              </w:rPr>
              <w:t>Stage</w:t>
            </w:r>
          </w:p>
        </w:tc>
        <w:tc>
          <w:tcPr>
            <w:tcW w:w="5472"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14:paraId="7A1EACEA" w14:textId="77777777" w:rsidR="00ED7985" w:rsidRDefault="00000000">
            <w:r>
              <w:rPr>
                <w:b/>
                <w:color w:val="FFFFFF"/>
                <w:sz w:val="18"/>
              </w:rPr>
              <w:t>Operator action</w:t>
            </w:r>
          </w:p>
        </w:tc>
        <w:tc>
          <w:tcPr>
            <w:tcW w:w="3888"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14:paraId="05DC7B62" w14:textId="77777777" w:rsidR="00ED7985" w:rsidRDefault="00000000">
            <w:r>
              <w:rPr>
                <w:b/>
                <w:color w:val="FFFFFF"/>
                <w:sz w:val="18"/>
              </w:rPr>
              <w:t>Result</w:t>
            </w:r>
          </w:p>
        </w:tc>
      </w:tr>
      <w:tr w:rsidR="00ED7985" w14:paraId="2A80FBA2" w14:textId="77777777">
        <w:trPr>
          <w:jc w:val="center"/>
        </w:trPr>
        <w:tc>
          <w:tcPr>
            <w:tcW w:w="14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1. Select</w:t>
            </w:r>
          </w:p>
        </w:tc>
        <w:tc>
          <w:tcPr>
            <w:tcW w:w="54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Choose files/folders or a separately authorised lab target.</w:t>
            </w:r>
          </w:p>
        </w:tc>
        <w:tc>
          <w:tcPr>
            <w:tcW w:w="38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A specific scope chosen by the operator.</w:t>
            </w:r>
          </w:p>
        </w:tc>
      </w:tr>
      <w:tr w:rsidR="00ED7985" w14:paraId="407E24B2"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2. Confirm</w:t>
            </w:r>
          </w:p>
        </w:tc>
        <w:tc>
          <w:tcPr>
            <w:tcW w:w="547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Review and confirm file scope; lab adapters also require allow-list validation and an authorization confirmation.</w:t>
            </w:r>
          </w:p>
        </w:tc>
        <w:tc>
          <w:tcPr>
            <w:tcW w:w="388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The scanner does not infer a broader scope.</w:t>
            </w:r>
          </w:p>
        </w:tc>
      </w:tr>
      <w:tr w:rsidR="00ED7985" w14:paraId="5F906E34" w14:textId="77777777">
        <w:trPr>
          <w:jc w:val="center"/>
        </w:trPr>
        <w:tc>
          <w:tcPr>
            <w:tcW w:w="14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3. Check</w:t>
            </w:r>
          </w:p>
        </w:tc>
        <w:tc>
          <w:tcPr>
            <w:tcW w:w="54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Review tool availability and the selected checks; missing tools and NOT RUN checks remain visible.</w:t>
            </w:r>
          </w:p>
        </w:tc>
        <w:tc>
          <w:tcPr>
            <w:tcW w:w="38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An honest inventory of what can run.</w:t>
            </w:r>
          </w:p>
        </w:tc>
      </w:tr>
      <w:tr w:rsidR="00ED7985" w14:paraId="604EA08D"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4. Analyze</w:t>
            </w:r>
          </w:p>
        </w:tc>
        <w:tc>
          <w:tcPr>
            <w:tcW w:w="547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Run bounded read-only checks or a separately scoped fixed adapter; supplied files are not executed.</w:t>
            </w:r>
          </w:p>
        </w:tc>
        <w:tc>
          <w:tcPr>
            <w:tcW w:w="388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Findings and coverage from the checks that actually ran.</w:t>
            </w:r>
          </w:p>
        </w:tc>
      </w:tr>
      <w:tr w:rsidR="00ED7985" w14:paraId="04D0E4FB" w14:textId="77777777">
        <w:trPr>
          <w:jc w:val="center"/>
        </w:trPr>
        <w:tc>
          <w:tcPr>
            <w:tcW w:w="14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5. Explain</w:t>
            </w:r>
          </w:p>
        </w:tc>
        <w:tc>
          <w:tcPr>
            <w:tcW w:w="54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Optionally request Local or disclosed Cloud model assistance; scanner evidence remains authoritative.</w:t>
            </w:r>
          </w:p>
        </w:tc>
        <w:tc>
          <w:tcPr>
            <w:tcW w:w="38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Qualified explanations, not scanner overrides.</w:t>
            </w:r>
          </w:p>
        </w:tc>
      </w:tr>
      <w:tr w:rsidR="00ED7985" w14:paraId="72EFD0CC"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6. Respond</w:t>
            </w:r>
          </w:p>
        </w:tc>
        <w:tc>
          <w:tcPr>
            <w:tcW w:w="547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A person reviews findings and makes any changes outside the scanning workflow.</w:t>
            </w:r>
          </w:p>
        </w:tc>
        <w:tc>
          <w:tcPr>
            <w:tcW w:w="388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Human-controlled remediation.</w:t>
            </w:r>
          </w:p>
        </w:tc>
      </w:tr>
      <w:tr w:rsidR="00ED7985" w14:paraId="261A93CD" w14:textId="77777777">
        <w:trPr>
          <w:jc w:val="center"/>
        </w:trPr>
        <w:tc>
          <w:tcPr>
            <w:tcW w:w="14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7. Re-check</w:t>
            </w:r>
          </w:p>
        </w:tc>
        <w:tc>
          <w:tcPr>
            <w:tcW w:w="54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Run scanner-only static checks against the saved confirmed scope.</w:t>
            </w:r>
          </w:p>
        </w:tc>
        <w:tc>
          <w:tcPr>
            <w:tcW w:w="38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Still detected, not reproduced in static re-check, or inconclusive; not proof of a fix.</w:t>
            </w:r>
          </w:p>
        </w:tc>
      </w:tr>
      <w:tr w:rsidR="00ED7985" w14:paraId="0046437A"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8. Report</w:t>
            </w:r>
          </w:p>
        </w:tc>
        <w:tc>
          <w:tcPr>
            <w:tcW w:w="547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Review coverage and findings; export SARIF, an annotated Markdown copy or an optional signed evidence pack.</w:t>
            </w:r>
          </w:p>
        </w:tc>
        <w:tc>
          <w:tcPr>
            <w:tcW w:w="388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A redacted, traceable record with limitations.</w:t>
            </w:r>
          </w:p>
        </w:tc>
      </w:tr>
    </w:tbl>
    <w:p w14:paraId="229745D7" w14:textId="77777777" w:rsidR="00ED7985" w:rsidRDefault="00ED7985">
      <w:pPr>
        <w:spacing w:after="20"/>
      </w:pPr>
    </w:p>
    <w:p w14:paraId="205EFB27" w14:textId="77777777" w:rsidR="00ED7985" w:rsidRDefault="00000000">
      <w:pPr>
        <w:pStyle w:val="Heading1"/>
      </w:pPr>
      <w:r>
        <w:rPr>
          <w:rFonts w:ascii="Aptos" w:hAnsi="Aptos"/>
          <w:b w:val="0"/>
          <w:color w:val="222222"/>
          <w:sz w:val="21"/>
        </w:rPr>
        <w:t>How experts can narrow issues</w:t>
      </w:r>
    </w:p>
    <w:p w14:paraId="76D5DDA2" w14:textId="77777777" w:rsidR="00ED7985" w:rsidRDefault="00000000">
      <w:pPr>
        <w:pStyle w:val="ListBullet"/>
        <w:spacing w:after="60"/>
      </w:pPr>
      <w:r>
        <w:t>Start with a single service, route, package or workflow rather than scanning a wide environment. This keeps the evidence interpretable.</w:t>
      </w:r>
    </w:p>
    <w:p w14:paraId="05A48139" w14:textId="77777777" w:rsidR="00ED7985" w:rsidRDefault="00000000">
      <w:pPr>
        <w:pStyle w:val="ListBullet"/>
        <w:spacing w:after="60"/>
      </w:pPr>
      <w:r>
        <w:t>Use static findings to identify a code or configuration path. If a separate live lab check is justified, select and confirm its target through the authorised Network workflow; static review does not itself initiate a network probe.</w:t>
      </w:r>
    </w:p>
    <w:p w14:paraId="12FE1471" w14:textId="77777777" w:rsidR="00ED7985" w:rsidRDefault="00000000">
      <w:pPr>
        <w:pStyle w:val="ListBullet"/>
        <w:spacing w:after="60"/>
      </w:pPr>
      <w:r>
        <w:t>Compare the tool's raw output, parsed finding and model explanation. A model can help prioritise or explain, but the raw evidence remains authoritative.</w:t>
      </w:r>
    </w:p>
    <w:p w14:paraId="3862F763" w14:textId="77777777" w:rsidR="00ED7985" w:rsidRDefault="00000000">
      <w:pPr>
        <w:pStyle w:val="ListBullet"/>
        <w:spacing w:after="60"/>
      </w:pPr>
      <w:r>
        <w:t>Record tool version, target scope and limits so a later run can be compared fairly with the first run.</w:t>
      </w:r>
    </w:p>
    <w:p w14:paraId="47B95D9E" w14:textId="77777777" w:rsidR="00ED7985" w:rsidRDefault="00000000">
      <w:pPr>
        <w:pStyle w:val="ListBullet"/>
        <w:spacing w:after="60"/>
      </w:pPr>
      <w:r>
        <w:t>After a change, scanner-only static re-checks use the recorded scope and report still detected, not reproduced in static re-check, or inconclusive. A missing pattern is not proof that a fix is complete or that an issue was exploitable.</w:t>
      </w:r>
    </w:p>
    <w:p w14:paraId="2D494945" w14:textId="77777777" w:rsidR="00ED7985" w:rsidRDefault="00000000">
      <w:pPr>
        <w:pStyle w:val="ListBullet"/>
        <w:spacing w:after="60"/>
      </w:pPr>
      <w:r>
        <w:t>Use risk acceptance with an expiry when a fix cannot be immediate. The risk should return for review rather than disappear from the backlog.</w:t>
      </w:r>
    </w:p>
    <w:p w14:paraId="6F8CB1DB" w14:textId="77777777" w:rsidR="00ED7985" w:rsidRDefault="00000000">
      <w:pPr>
        <w:pStyle w:val="Heading1"/>
      </w:pPr>
      <w:r>
        <w:rPr>
          <w:rFonts w:ascii="Aptos" w:hAnsi="Aptos"/>
          <w:b w:val="0"/>
          <w:color w:val="222222"/>
          <w:sz w:val="21"/>
        </w:rPr>
        <w:t>Value other software may not combine</w:t>
      </w:r>
    </w:p>
    <w:p w14:paraId="03901DF1" w14:textId="77777777" w:rsidR="00ED7985" w:rsidRDefault="00000000">
      <w:r>
        <w:t>Individual commercial and open-source products provide parts of this capability. SecAudit's current strengths are native desktop use, explicit scope, local-first review, fixed-argument authorised lab adapters, visible tool coverage, evidence handling and a clear separation between scanner results and advisory model explanations. It does not provide sandbox execution, universal offline or air-gap assurance, or automatic runtime fix verification.</w:t>
      </w:r>
    </w:p>
    <w:p w14:paraId="02A29854" w14:textId="77777777" w:rsidR="00043D3A" w:rsidRDefault="00043D3A"/>
    <w:tbl>
      <w:tblPr>
        <w:tblStyle w:val="TableGrid"/>
        <w:tblW w:w="0" w:type="auto"/>
        <w:jc w:val="center"/>
        <w:tblLook w:val="04A0" w:firstRow="1" w:lastRow="0" w:firstColumn="1" w:lastColumn="0" w:noHBand="0" w:noVBand="1"/>
      </w:tblPr>
      <w:tblGrid>
        <w:gridCol w:w="3636"/>
        <w:gridCol w:w="6598"/>
      </w:tblGrid>
      <w:tr w:rsidR="00ED7985" w14:paraId="5A77BB2D" w14:textId="77777777">
        <w:trPr>
          <w:tblHeader/>
          <w:jc w:val="center"/>
        </w:trPr>
        <w:tc>
          <w:tcPr>
            <w:tcW w:w="3816"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14:paraId="4AD951EF" w14:textId="77777777" w:rsidR="00ED7985" w:rsidRDefault="00000000">
            <w:r>
              <w:rPr>
                <w:b/>
                <w:color w:val="FFFFFF"/>
                <w:sz w:val="18"/>
              </w:rPr>
              <w:lastRenderedPageBreak/>
              <w:t>Combined capability</w:t>
            </w:r>
          </w:p>
        </w:tc>
        <w:tc>
          <w:tcPr>
            <w:tcW w:w="6984"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14:paraId="0E291E2F" w14:textId="77777777" w:rsidR="00ED7985" w:rsidRDefault="00000000">
            <w:r>
              <w:rPr>
                <w:b/>
                <w:color w:val="FFFFFF"/>
                <w:sz w:val="18"/>
              </w:rPr>
              <w:t>Why it matters</w:t>
            </w:r>
          </w:p>
        </w:tc>
      </w:tr>
      <w:tr w:rsidR="00ED7985" w14:paraId="334F3797" w14:textId="77777777">
        <w:trPr>
          <w:jc w:val="center"/>
        </w:trPr>
        <w:tc>
          <w:tcPr>
            <w:tcW w:w="381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Private local review plus explicit scope</w:t>
            </w:r>
          </w:p>
        </w:tc>
        <w:tc>
          <w:tcPr>
            <w:tcW w:w="69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Selected content can remain local while the operator can explain what was selected and which checks ran.</w:t>
            </w:r>
          </w:p>
        </w:tc>
      </w:tr>
      <w:tr w:rsidR="00ED7985" w14:paraId="42F058AA" w14:textId="77777777">
        <w:trPr>
          <w:jc w:val="center"/>
        </w:trPr>
        <w:tc>
          <w:tcPr>
            <w:tcW w:w="381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Tool verification plus visible coverage</w:t>
            </w:r>
          </w:p>
        </w:tc>
        <w:tc>
          <w:tcPr>
            <w:tcW w:w="698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Unavailable, skipped, limited and NOT RUN checks are not presented as clean.</w:t>
            </w:r>
          </w:p>
        </w:tc>
      </w:tr>
      <w:tr w:rsidR="00ED7985" w14:paraId="318EAB61" w14:textId="77777777">
        <w:trPr>
          <w:jc w:val="center"/>
        </w:trPr>
        <w:tc>
          <w:tcPr>
            <w:tcW w:w="381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Evidence plus review memory</w:t>
            </w:r>
          </w:p>
        </w:tc>
        <w:tc>
          <w:tcPr>
            <w:tcW w:w="69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Redacted report summaries support later Local assistance without storing full source in learned memory.</w:t>
            </w:r>
          </w:p>
        </w:tc>
      </w:tr>
      <w:tr w:rsidR="00ED7985" w14:paraId="5D68611F" w14:textId="77777777">
        <w:trPr>
          <w:jc w:val="center"/>
        </w:trPr>
        <w:tc>
          <w:tcPr>
            <w:tcW w:w="381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Technical findings plus explanations</w:t>
            </w:r>
          </w:p>
        </w:tc>
        <w:tc>
          <w:tcPr>
            <w:tcW w:w="698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r>
              <w:t>Structured scanner evidence can be viewed alongside advisory plain-language model explanations.</w:t>
            </w:r>
          </w:p>
        </w:tc>
      </w:tr>
    </w:tbl>
    <w:p w14:paraId="0862D4FB" w14:textId="77777777" w:rsidR="00ED7985" w:rsidRDefault="00ED7985">
      <w:pPr>
        <w:spacing w:after="20"/>
      </w:pPr>
    </w:p>
    <w:p w14:paraId="5291582E" w14:textId="77777777" w:rsidR="00ED7985" w:rsidRDefault="00000000">
      <w:pPr>
        <w:pStyle w:val="Heading1"/>
      </w:pPr>
      <w:r>
        <w:rPr>
          <w:rFonts w:ascii="Aptos" w:hAnsi="Aptos"/>
          <w:b w:val="0"/>
          <w:color w:val="222222"/>
          <w:sz w:val="21"/>
        </w:rPr>
        <w:t>Limitations and responsible adoption</w:t>
      </w:r>
    </w:p>
    <w:p w14:paraId="2CF0C2FD" w14:textId="77777777" w:rsidR="00ED7985" w:rsidRDefault="00000000">
      <w:r>
        <w:t>SecAudit should be introduced with a small authorised pilot: one source package or lab target, a defined set of reviewers and a measurable success criterion. Confirm which tools actually ran, whether coverage and evidence are useful, and that legal, privacy, procurement and change-control requirements are met. Security review is a process, not a single button.</w:t>
      </w:r>
    </w:p>
    <w:p w14:paraId="2B753B6E" w14:textId="77777777" w:rsidR="00ED7985" w:rsidRDefault="00000000">
      <w:pPr>
        <w:pStyle w:val="Heading1"/>
      </w:pPr>
      <w:r>
        <w:rPr>
          <w:rFonts w:ascii="Aptos" w:hAnsi="Aptos"/>
          <w:b w:val="0"/>
          <w:color w:val="222222"/>
          <w:sz w:val="21"/>
        </w:rPr>
        <w:t>Recommended first pilot</w:t>
      </w:r>
    </w:p>
    <w:p w14:paraId="4B75A46E" w14:textId="77777777" w:rsidR="00ED7985" w:rsidRDefault="00000000">
      <w:pPr>
        <w:pStyle w:val="ListBullet"/>
        <w:spacing w:after="60"/>
      </w:pPr>
      <w:r>
        <w:t>Select one deliberately isolated prototype or test WLAN and document the authorised range.</w:t>
      </w:r>
    </w:p>
    <w:p w14:paraId="7B31F603" w14:textId="77777777" w:rsidR="00ED7985" w:rsidRDefault="00000000">
      <w:pPr>
        <w:pStyle w:val="ListBullet"/>
        <w:spacing w:after="60"/>
      </w:pPr>
      <w:r>
        <w:t>Invite one developer, one security reviewer and one manager to use the same report.</w:t>
      </w:r>
    </w:p>
    <w:p w14:paraId="46B7BA10" w14:textId="77777777" w:rsidR="00ED7985" w:rsidRDefault="00000000">
      <w:pPr>
        <w:pStyle w:val="ListBullet"/>
        <w:spacing w:after="60"/>
      </w:pPr>
      <w:r>
        <w:t>Review a supplier or contractor package without production secrets; do not treat a static result as supplier certification.</w:t>
      </w:r>
    </w:p>
    <w:p w14:paraId="1169E416" w14:textId="77777777" w:rsidR="00ED7985" w:rsidRDefault="00000000">
      <w:pPr>
        <w:pStyle w:val="ListBullet"/>
        <w:spacing w:after="60"/>
      </w:pPr>
      <w:r>
        <w:t>Measure time to first useful finding, false-positive handling, remediation clarity and evidence reuse.</w:t>
      </w:r>
    </w:p>
    <w:p w14:paraId="265FE587" w14:textId="77777777" w:rsidR="00ED7985" w:rsidRDefault="00000000">
      <w:pPr>
        <w:pStyle w:val="ListBullet"/>
        <w:spacing w:after="60"/>
      </w:pPr>
      <w:r>
        <w:t>Only expand the scope after the organisation has reviewed the logs, limitations and approval workflow.</w:t>
      </w:r>
    </w:p>
    <w:p>
      <w:pPr>
        <w:pStyle w:val="Heading1"/>
      </w:pPr>
      <w:r>
        <w:rPr>
          <w:rFonts w:ascii="Aptos" w:hAnsi="Aptos"/>
          <w:b w:val="0"/>
          <w:color w:val="222222"/>
          <w:sz w:val="21"/>
        </w:rPr>
        <w:t xml:space="preserve">Evaluation against commercial products (29 October 2026)</w:t>
      </w:r>
    </w:p>
    <w:p>
      <w:r>
        <w:t xml:space="preserve">This section scores the current SecAudit build against the commercial products visible in the supplied screenshots, using the files the current build generated. It is an engineering assessment of one test run, not a benchmark or a certification.</w:t>
      </w:r>
    </w:p>
    <w:p>
      <w:pPr>
        <w:pStyle w:val="Heading2"/>
      </w:pPr>
      <w:r>
        <w:rPr>
          <w:rFonts w:ascii="Aptos" w:hAnsi="Aptos"/>
          <w:b w:val="0"/>
          <w:color w:val="222222"/>
          <w:sz w:val="21"/>
        </w:rPr>
        <w:t xml:space="preserve">Evidence used</w:t>
      </w:r>
    </w:p>
    <w:p>
      <w:pPr>
        <w:pStyle w:val="ListBullet"/>
        <w:spacing w:after="60"/>
      </w:pPr>
      <w:r>
        <w:rPr>
          <w:b/>
        </w:rPr>
        <w:t xml:space="preserve">Generated by SecAudit:</w:t>
      </w:r>
      <w:r>
        <w:t xml:space="preserve"> report.json (report e63a697a…, created 28 October 2026 23:20 UTC, profile insecure-file-uploads, 1 target), findings.sarif, ledger.json, manifest.json, signature.ed25519 and public_key.pem (the signed evidence pack).</w:t>
      </w:r>
    </w:p>
    <w:p>
      <w:pPr>
        <w:pStyle w:val="ListBullet"/>
        <w:spacing w:after="60"/>
      </w:pPr>
      <w:r>
        <w:rPr>
          <w:b/>
        </w:rPr>
        <w:t xml:space="preserve">Screenshots:</w:t>
      </w:r>
      <w:r>
        <w:t xml:space="preserve"> SecAudit Run Monitor beside Task Manager, McAfee Premium scan result, Windows Security scan options, Microsoft Defender command-line scans, and File Explorer showing the test folder.</w:t>
      </w:r>
    </w:p>
    <w:p>
      <w:pPr>
        <w:pStyle w:val="ListBullet"/>
        <w:spacing w:after="60"/>
      </w:pPr>
      <w:r>
        <w:rPr>
          <w:b/>
        </w:rPr>
        <w:t xml:space="preserve">Documentation:</w:t>
      </w:r>
      <w:r>
        <w:t xml:space="preserve"> application functions, architecture, installation, Strix integration and lab training references (Appendices A to E).</w:t>
      </w:r>
    </w:p>
    <w:p>
      <w:pPr>
        <w:pStyle w:val="ListBullet"/>
        <w:spacing w:after="60"/>
      </w:pPr>
      <w:r>
        <w:rPr>
          <w:b/>
        </w:rPr>
        <w:t xml:space="preserve">Test sample:</w:t>
      </w:r>
      <w:r>
        <w:t xml:space="preserve"> one folder of third-party Microsoft activation scripts plus an Office installer archive, a kind of content commercial antivirus products commonly flag. SecAudit reads it and does not execute it.</w:t>
      </w:r>
    </w:p>
    <w:p>
      <w:pPr>
        <w:pStyle w:val="Heading2"/>
      </w:pPr>
      <w:r>
        <w:rPr>
          <w:rFonts w:ascii="Aptos" w:hAnsi="Aptos"/>
          <w:b w:val="0"/>
          <w:color w:val="222222"/>
          <w:sz w:val="21"/>
        </w:rPr>
        <w:t xml:space="preserve">Method and limits</w:t>
      </w:r>
    </w:p>
    <w:p>
      <w:pPr>
        <w:pStyle w:val="ListBullet"/>
        <w:spacing w:after="60"/>
      </w:pPr>
      <w:r>
        <w:t xml:space="preserve">Ten criteria, each scored 0 to 5 and weighted to a total of 100 (weight × score ÷ 5). Scores are judgement from the evidence. The basis column marks each as </w:t>
      </w:r>
      <w:r>
        <w:rPr>
          <w:b/>
        </w:rPr>
        <w:t xml:space="preserve">O</w:t>
      </w:r>
      <w:r>
        <w:t xml:space="preserve"> (observed in the supplied files or screenshots) or </w:t>
      </w:r>
      <w:r>
        <w:rPr>
          <w:b/>
        </w:rPr>
        <w:t xml:space="preserve">G</w:t>
      </w:r>
      <w:r>
        <w:t xml:space="preserve"> (general public product knowledge, not tested here).</w:t>
      </w:r>
    </w:p>
    <w:p>
      <w:pPr>
        <w:pStyle w:val="ListBullet"/>
        <w:spacing w:after="60"/>
      </w:pPr>
      <w:r>
        <w:t xml:space="preserve">One sample and one run per product. Scope was not identical: Defender scanned the folder by command line, McAfee scanned 18 items of unstated scope, and SecAudit considered 36 files in the folder.</w:t>
      </w:r>
    </w:p>
    <w:p>
      <w:pPr>
        <w:pStyle w:val="ListBullet"/>
        <w:spacing w:after="60"/>
      </w:pPr>
      <w:r>
        <w:t xml:space="preserve">Defender's output does not list which files were detected, so file-level agreement between products cannot be scored.</w:t>
      </w:r>
    </w:p>
    <w:p>
      <w:pPr>
        <w:pStyle w:val="Heading2"/>
      </w:pPr>
      <w:r>
        <w:rPr>
          <w:rFonts w:ascii="Aptos" w:hAnsi="Aptos"/>
          <w:b w:val="0"/>
          <w:color w:val="222222"/>
          <w:sz w:val="21"/>
        </w:rPr>
        <w:t xml:space="preserve">What the SecAudit run produced</w:t>
      </w:r>
    </w:p>
    <w:tbl>
      <w:tblPr>
        <w:tblStyle w:val="TableGrid"/>
        <w:tblW w:w="9990" w:type="dxa"/>
        <w:jc w:val="center"/>
        <w:tblLayout w:type="fixed"/>
        <w:tblLook w:val="04A0" w:firstRow="1" w:lastRow="0" w:firstColumn="1" w:lastColumn="0" w:noHBand="0" w:noVBand="1"/>
      </w:tblPr>
      <w:tblGrid>
        <w:gridCol w:w="2600"/>
        <w:gridCol w:w="3000"/>
        <w:gridCol w:w="4390"/>
      </w:tblGrid>
      <w:tr>
        <w:trPr>
          <w:tblHeader/>
        </w:trPr>
        <w:tc>
          <w:tcPr>
            <w:tcW w:w="2600"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pPr>
              <w:spacing w:before="0" w:after="0"/>
            </w:pPr>
            <w:r>
              <w:rPr>
                <w:sz w:val="18"/>
                <w:b/>
                <w:color w:val="FFFFFF"/>
              </w:rPr>
              <w:t xml:space="preserve">Check</w:t>
            </w:r>
          </w:p>
        </w:tc>
        <w:tc>
          <w:tcPr>
            <w:tcW w:w="3000"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pPr>
              <w:spacing w:before="0" w:after="0"/>
            </w:pPr>
            <w:r>
              <w:rPr>
                <w:sz w:val="18"/>
                <w:b/>
                <w:color w:val="FFFFFF"/>
              </w:rPr>
              <w:t xml:space="preserve">Status in report.json</w:t>
            </w:r>
          </w:p>
        </w:tc>
        <w:tc>
          <w:tcPr>
            <w:tcW w:w="4390"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pPr>
              <w:spacing w:before="0" w:after="0"/>
            </w:pPr>
            <w:r>
              <w:rPr>
                <w:sz w:val="18"/>
                <w:b/>
                <w:color w:val="FFFFFF"/>
              </w:rPr>
              <w:t xml:space="preserve">Reading</w:t>
            </w:r>
          </w:p>
        </w:tc>
      </w:tr>
      <w:tr>
        <w:trPr>
          <w:cantSplit/>
        </w:trPr>
        <w:tc>
          <w:tcPr>
            <w:tcW w:w="26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Built-in text and configuration review</w:t>
            </w:r>
          </w:p>
        </w:tc>
        <w:tc>
          <w:tcPr>
            <w:tcW w:w="30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Completed: 26 text files or ZIP members, 0 findings</w:t>
            </w:r>
          </w:p>
        </w:tc>
        <w:tc>
          <w:tcPr>
            <w:tcW w:w="43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No finding from the built-in review on scripts that commercial engines flag (see gap 2).</w:t>
            </w:r>
          </w:p>
        </w:tc>
      </w:tr>
      <w:tr>
        <w:trPr>
          <w:cantSplit/>
        </w:trPr>
        <w:tc>
          <w:tcPr>
            <w:tcW w:w="26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Windows Authenticode signatures</w:t>
            </w:r>
          </w:p>
        </w:tc>
        <w:tc>
          <w:tcPr>
            <w:tcW w:w="30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Not run: no supported Windows executables</w:t>
            </w:r>
          </w:p>
        </w:tc>
        <w:tc>
          <w:tcPr>
            <w:tcW w:w="43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Correct for a folder of scripts and documents.</w:t>
            </w:r>
          </w:p>
        </w:tc>
      </w:tr>
      <w:tr>
        <w:trPr>
          <w:cantSplit/>
        </w:trPr>
        <w:tc>
          <w:tcPr>
            <w:tcW w:w="26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Semgrep 1.182.1</w:t>
            </w:r>
          </w:p>
        </w:tc>
        <w:tc>
          <w:tcPr>
            <w:tcW w:w="30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Completed in 10.7 s; p/r2c-security-audit; 15 paths; engine verified</w:t>
            </w:r>
          </w:p>
        </w:tc>
        <w:tc>
          <w:tcPr>
            <w:tcW w:w="43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No Semgrep findings appear in the report. Semgrep has no parser for Windows batch (.cmd) files.</w:t>
            </w:r>
          </w:p>
        </w:tc>
      </w:tr>
      <w:tr>
        <w:trPr>
          <w:cantSplit/>
        </w:trPr>
        <w:tc>
          <w:tcPr>
            <w:tcW w:w="26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ClamAV malware signatures</w:t>
            </w:r>
          </w:p>
        </w:tc>
        <w:tc>
          <w:tcPr>
            <w:tcW w:w="30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Unavailable: signatures 94 hours old (limit 72)</w:t>
            </w:r>
          </w:p>
        </w:tc>
        <w:tc>
          <w:tcPr>
            <w:tcW w:w="43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Reported as unavailable, not clean, which is the right behaviour. No malware-signature result on this run.</w:t>
            </w:r>
          </w:p>
        </w:tc>
      </w:tr>
      <w:tr>
        <w:trPr>
          <w:cantSplit/>
        </w:trPr>
        <w:tc>
          <w:tcPr>
            <w:tcW w:w="26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Model review (insecure-file-uploads focus)</w:t>
            </w:r>
          </w:p>
        </w:tc>
        <w:tc>
          <w:tcPr>
            <w:tcW w:w="30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Incomplete: JSONDecodeError</w:t>
            </w:r>
          </w:p>
        </w:tc>
        <w:tc>
          <w:tcPr>
            <w:tcW w:w="43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Honest status, but the model contributed nothing to this run.</w:t>
            </w:r>
          </w:p>
        </w:tc>
      </w:tr>
      <w:tr>
        <w:trPr>
          <w:cantSplit/>
        </w:trPr>
        <w:tc>
          <w:tcPr>
            <w:tcW w:w="26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Supplier intake, AI-code and automation indicators</w:t>
            </w:r>
          </w:p>
        </w:tc>
        <w:tc>
          <w:tcPr>
            <w:tcW w:w="30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Completed: heuristic = reject; 17 files hashed</w:t>
            </w:r>
          </w:p>
        </w:tc>
        <w:tc>
          <w:tcPr>
            <w:tcW w:w="43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The only check that produced findings: 28 (14 high, 14 medium) from 3 rule types.</w:t>
            </w:r>
          </w:p>
        </w:tc>
      </w:tr>
    </w:tbl>
    <w:p>
      <w:pPr>
        <w:spacing w:after="20"/>
      </w:pPr>
    </w:p>
    <w:p>
      <w:r>
        <w:t xml:space="preserve">Overall: static heuristic verdict reject. Files considered 36, checked 26, skipped 8, with only 2 skip reasons listed.</w:t>
      </w:r>
    </w:p>
    <w:p>
      <w:pPr>
        <w:pStyle w:val="Heading2"/>
      </w:pPr>
      <w:r>
        <w:rPr>
          <w:rFonts w:ascii="Aptos" w:hAnsi="Aptos"/>
          <w:b w:val="0"/>
          <w:color w:val="222222"/>
          <w:sz w:val="21"/>
        </w:rPr>
        <w:t xml:space="preserve">Comparison with the commercial results</w:t>
      </w:r>
    </w:p>
    <w:tbl>
      <w:tblPr>
        <w:tblStyle w:val="TableGrid"/>
        <w:tblW w:w="9990" w:type="dxa"/>
        <w:jc w:val="center"/>
        <w:tblLayout w:type="fixed"/>
        <w:tblLook w:val="04A0" w:firstRow="1" w:lastRow="0" w:firstColumn="1" w:lastColumn="0" w:noHBand="0" w:noVBand="1"/>
      </w:tblPr>
      <w:tblGrid>
        <w:gridCol w:w="2400"/>
        <w:gridCol w:w="4300"/>
        <w:gridCol w:w="3290"/>
      </w:tblGrid>
      <w:tr>
        <w:trPr>
          <w:tblHeader/>
        </w:trPr>
        <w:tc>
          <w:tcPr>
            <w:tcW w:w="2400"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pPr>
              <w:spacing w:before="0" w:after="0"/>
            </w:pPr>
            <w:r>
              <w:rPr>
                <w:sz w:val="18"/>
                <w:b/>
                <w:color w:val="FFFFFF"/>
              </w:rPr>
              <w:t xml:space="preserve">Product</w:t>
            </w:r>
          </w:p>
        </w:tc>
        <w:tc>
          <w:tcPr>
            <w:tcW w:w="4300"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pPr>
              <w:spacing w:before="0" w:after="0"/>
            </w:pPr>
            <w:r>
              <w:rPr>
                <w:sz w:val="18"/>
                <w:b/>
                <w:color w:val="FFFFFF"/>
              </w:rPr>
              <w:t xml:space="preserve">What the screenshots show</w:t>
            </w:r>
          </w:p>
        </w:tc>
        <w:tc>
          <w:tcPr>
            <w:tcW w:w="3290"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pPr>
              <w:spacing w:before="0" w:after="0"/>
            </w:pPr>
            <w:r>
              <w:rPr>
                <w:sz w:val="18"/>
                <w:b/>
                <w:color w:val="FFFFFF"/>
              </w:rPr>
              <w:t xml:space="preserve">Reading</w:t>
            </w:r>
          </w:p>
        </w:tc>
      </w:tr>
      <w:tr>
        <w:trPr>
          <w:cantSplit/>
        </w:trPr>
        <w:tc>
          <w:tcPr>
            <w:tcW w:w="24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Microsoft Defender (Windows Security and MpCmdRun)</w:t>
            </w:r>
          </w:p>
        </w:tc>
        <w:tc>
          <w:tcPr>
            <w:tcW w:w="43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Quick scan on 29/10/2026 06:33: 39,972 files in 1 min 31 s, 0 threats. Custom scan (ScanType 3) of the test folder: 4 threats found, cleaning started and finished.</w:t>
            </w:r>
          </w:p>
        </w:tc>
        <w:tc>
          <w:tcPr>
            <w:tcW w:w="32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Detects and removes. Threat names and file paths are not shown in the screenshot.</w:t>
            </w:r>
          </w:p>
        </w:tc>
      </w:tr>
      <w:tr>
        <w:trPr>
          <w:cantSplit/>
        </w:trPr>
        <w:tc>
          <w:tcPr>
            <w:tcW w:w="24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McAfee Premium – Individual (trial)</w:t>
            </w:r>
          </w:p>
        </w:tc>
        <w:tc>
          <w:tcPr>
            <w:tcW w:w="43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Antivirus scan done: 18 items scanned, no threats found; real-time and scheduled scans described.</w:t>
            </w:r>
          </w:p>
        </w:tc>
        <w:tc>
          <w:tcPr>
            <w:tcW w:w="32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The scope of the 18 items is unknown, so this is not evidence that the folder is clean.</w:t>
            </w:r>
          </w:p>
        </w:tc>
      </w:tr>
      <w:tr>
        <w:trPr>
          <w:cantSplit/>
        </w:trPr>
        <w:tc>
          <w:tcPr>
            <w:tcW w:w="24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SecAudit (this build)</w:t>
            </w:r>
          </w:p>
        </w:tc>
        <w:tc>
          <w:tcPr>
            <w:tcW w:w="43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Run Monitor: 8 min 50 s elapsed reviewing one ZIP member; the Office installer archive review reported 0 supported members checked, 4 skipped. Earlier saved run: verdict reject, 28 indicators, no malware detection.</w:t>
            </w:r>
          </w:p>
        </w:tc>
        <w:tc>
          <w:tcPr>
            <w:tcW w:w="32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Folder-level verdict agrees with Defender, but SecAudit could not name or confirm malware.</w:t>
            </w:r>
          </w:p>
        </w:tc>
      </w:tr>
    </w:tbl>
    <w:p>
      <w:pPr>
        <w:spacing w:after="20"/>
      </w:pPr>
    </w:p>
    <w:p>
      <w:r>
        <w:t xml:space="preserve">Reading: the two commercial products disagree on this sample, which is a reminder that one engine's "no threats" is weak evidence. SecAudit's reject verdict is consistent with Defender at folder level but rests on coarse heuristics, not on a detection. To score file-level agreement, export Defender's detections (Protection history or the Get-MpThreatDetection cmdlet) and compare them with a SecAudit re-run that has current ClamAV signatures.</w:t>
      </w:r>
    </w:p>
    <w:p>
      <w:pPr>
        <w:pStyle w:val="Heading2"/>
      </w:pPr>
      <w:r>
        <w:rPr>
          <w:rFonts w:ascii="Aptos" w:hAnsi="Aptos"/>
          <w:b w:val="0"/>
          <w:color w:val="222222"/>
          <w:sz w:val="21"/>
        </w:rPr>
        <w:t xml:space="preserve">Scorecard</w:t>
      </w:r>
    </w:p>
    <w:tbl>
      <w:tblPr>
        <w:tblStyle w:val="TableGrid"/>
        <w:tblW w:w="9990" w:type="dxa"/>
        <w:jc w:val="center"/>
        <w:tblLayout w:type="fixed"/>
        <w:tblLook w:val="04A0" w:firstRow="1" w:lastRow="0" w:firstColumn="1" w:lastColumn="0" w:noHBand="0" w:noVBand="1"/>
      </w:tblPr>
      <w:tblGrid>
        <w:gridCol w:w="1850"/>
        <w:gridCol w:w="900"/>
        <w:gridCol w:w="1250"/>
        <w:gridCol w:w="1250"/>
        <w:gridCol w:w="1200"/>
        <w:gridCol w:w="3540"/>
      </w:tblGrid>
      <w:tr>
        <w:trPr>
          <w:tblHeader/>
        </w:trPr>
        <w:tc>
          <w:tcPr>
            <w:tcW w:w="1850"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pPr>
              <w:spacing w:before="0" w:after="0"/>
            </w:pPr>
            <w:r>
              <w:rPr>
                <w:sz w:val="17"/>
                <w:b/>
                <w:color w:val="FFFFFF"/>
              </w:rPr>
              <w:t xml:space="preserve">Criterion</w:t>
            </w:r>
          </w:p>
        </w:tc>
        <w:tc>
          <w:tcPr>
            <w:tcW w:w="900"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pPr>
              <w:spacing w:before="0" w:after="0"/>
            </w:pPr>
            <w:r>
              <w:rPr>
                <w:sz w:val="17"/>
                <w:b/>
                <w:color w:val="FFFFFF"/>
              </w:rPr>
              <w:t xml:space="preserve">Wt</w:t>
            </w:r>
          </w:p>
        </w:tc>
        <w:tc>
          <w:tcPr>
            <w:tcW w:w="1250"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pPr>
              <w:spacing w:before="0" w:after="0"/>
            </w:pPr>
            <w:r>
              <w:rPr>
                <w:sz w:val="17"/>
                <w:b/>
                <w:color w:val="FFFFFF"/>
              </w:rPr>
              <w:t xml:space="preserve">SecAudit</w:t>
            </w:r>
          </w:p>
        </w:tc>
        <w:tc>
          <w:tcPr>
            <w:tcW w:w="1250"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pPr>
              <w:spacing w:before="0" w:after="0"/>
            </w:pPr>
            <w:r>
              <w:rPr>
                <w:sz w:val="17"/>
                <w:b/>
                <w:color w:val="FFFFFF"/>
              </w:rPr>
              <w:t xml:space="preserve">Defender</w:t>
            </w:r>
          </w:p>
        </w:tc>
        <w:tc>
          <w:tcPr>
            <w:tcW w:w="1200"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pPr>
              <w:spacing w:before="0" w:after="0"/>
            </w:pPr>
            <w:r>
              <w:rPr>
                <w:sz w:val="17"/>
                <w:b/>
                <w:color w:val="FFFFFF"/>
              </w:rPr>
              <w:t xml:space="preserve">McAfee</w:t>
            </w:r>
          </w:p>
        </w:tc>
        <w:tc>
          <w:tcPr>
            <w:tcW w:w="3540"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pPr>
              <w:spacing w:before="0" w:after="0"/>
            </w:pPr>
            <w:r>
              <w:rPr>
                <w:sz w:val="17"/>
                <w:b/>
                <w:color w:val="FFFFFF"/>
              </w:rPr>
              <w:t xml:space="preserve">Basis and reasoning</w:t>
            </w:r>
          </w:p>
        </w:tc>
      </w:tr>
      <w:tr>
        <w:trPr>
          <w:cantSplit/>
        </w:trPr>
        <w:tc>
          <w:tcPr>
            <w:tcW w:w="185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Known-malware detection</w:t>
            </w:r>
          </w:p>
        </w:tc>
        <w:tc>
          <w:tcPr>
            <w:tcW w:w="9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20</w:t>
            </w:r>
          </w:p>
        </w:tc>
        <w:tc>
          <w:tcPr>
            <w:tcW w:w="1250" w:type="dxa"/>
            <w:tcBorders>
              <w:top w:val="single" w:sz="6" w:space="0" w:color="D9D9D9"/>
              <w:left w:val="single" w:sz="6" w:space="0" w:color="D9D9D9"/>
              <w:bottom w:val="single" w:sz="6" w:space="0" w:color="D9D9D9"/>
              <w:right w:val="single" w:sz="6" w:space="0" w:color="D9D9D9"/>
            </w:tcBorders>
            <w:shd w:val="clear" w:color="auto" w:fill="F4CCCC"/>
            <w:tcMar>
              <w:top w:w="100" w:type="dxa"/>
              <w:left w:w="120" w:type="dxa"/>
              <w:bottom w:w="100" w:type="dxa"/>
              <w:right w:w="120" w:type="dxa"/>
            </w:tcMar>
            <w:vAlign w:val="center"/>
          </w:tcPr>
          <w:p>
            <w:pPr>
              <w:spacing w:before="0" w:after="0"/>
              <w:jc w:val="center"/>
            </w:pPr>
            <w:r>
              <w:rPr>
                <w:sz w:val="17"/>
              </w:rPr>
              <w:t xml:space="preserve">1</w:t>
            </w:r>
          </w:p>
        </w:tc>
        <w:tc>
          <w:tcPr>
            <w:tcW w:w="1250" w:type="dxa"/>
            <w:tcBorders>
              <w:top w:val="single" w:sz="6" w:space="0" w:color="D9D9D9"/>
              <w:left w:val="single" w:sz="6" w:space="0" w:color="D9D9D9"/>
              <w:bottom w:val="single" w:sz="6" w:space="0" w:color="D9D9D9"/>
              <w:right w:val="single" w:sz="6" w:space="0" w:color="D9D9D9"/>
            </w:tcBorders>
            <w:shd w:val="clear" w:color="auto" w:fill="D9EAD3"/>
            <w:tcMar>
              <w:top w:w="100" w:type="dxa"/>
              <w:left w:w="120" w:type="dxa"/>
              <w:bottom w:w="100" w:type="dxa"/>
              <w:right w:w="120" w:type="dxa"/>
            </w:tcMar>
            <w:vAlign w:val="center"/>
          </w:tcPr>
          <w:p>
            <w:pPr>
              <w:spacing w:before="0" w:after="0"/>
              <w:jc w:val="center"/>
            </w:pPr>
            <w:r>
              <w:rPr>
                <w:sz w:val="17"/>
              </w:rPr>
              <w:t xml:space="preserve">5</w:t>
            </w:r>
          </w:p>
        </w:tc>
        <w:tc>
          <w:tcPr>
            <w:tcW w:w="1200" w:type="dxa"/>
            <w:tcBorders>
              <w:top w:val="single" w:sz="6" w:space="0" w:color="D9D9D9"/>
              <w:left w:val="single" w:sz="6" w:space="0" w:color="D9D9D9"/>
              <w:bottom w:val="single" w:sz="6" w:space="0" w:color="D9D9D9"/>
              <w:right w:val="single" w:sz="6" w:space="0" w:color="D9D9D9"/>
            </w:tcBorders>
            <w:shd w:val="clear" w:color="auto" w:fill="FFF2CC"/>
            <w:tcMar>
              <w:top w:w="100" w:type="dxa"/>
              <w:left w:w="120" w:type="dxa"/>
              <w:bottom w:w="100" w:type="dxa"/>
              <w:right w:w="120" w:type="dxa"/>
            </w:tcMar>
            <w:vAlign w:val="center"/>
          </w:tcPr>
          <w:p>
            <w:pPr>
              <w:spacing w:before="0" w:after="0"/>
              <w:jc w:val="center"/>
            </w:pPr>
            <w:r>
              <w:rPr>
                <w:sz w:val="17"/>
              </w:rPr>
              <w:t xml:space="preserve">3</w:t>
            </w:r>
          </w:p>
        </w:tc>
        <w:tc>
          <w:tcPr>
            <w:tcW w:w="35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b/>
              </w:rPr>
              <w:t xml:space="preserve">O.</w:t>
            </w:r>
            <w:r>
              <w:rPr>
                <w:sz w:val="17"/>
              </w:rPr>
              <w:t xml:space="preserve"> SecAudit: ClamAV was unavailable on this run (signatures 94 h old) and the report holds no malware detection. Defender found 4 threats and cleaned them. McAfee reported none on 18 items of unstated scope.</w:t>
            </w:r>
          </w:p>
        </w:tc>
      </w:tr>
      <w:tr>
        <w:trPr>
          <w:cantSplit/>
        </w:trPr>
        <w:tc>
          <w:tcPr>
            <w:tcW w:w="185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Behaviour and unknown-threat detection</w:t>
            </w:r>
          </w:p>
        </w:tc>
        <w:tc>
          <w:tcPr>
            <w:tcW w:w="9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15</w:t>
            </w:r>
          </w:p>
        </w:tc>
        <w:tc>
          <w:tcPr>
            <w:tcW w:w="1250" w:type="dxa"/>
            <w:tcBorders>
              <w:top w:val="single" w:sz="6" w:space="0" w:color="D9D9D9"/>
              <w:left w:val="single" w:sz="6" w:space="0" w:color="D9D9D9"/>
              <w:bottom w:val="single" w:sz="6" w:space="0" w:color="D9D9D9"/>
              <w:right w:val="single" w:sz="6" w:space="0" w:color="D9D9D9"/>
            </w:tcBorders>
            <w:shd w:val="clear" w:color="auto" w:fill="F4CCCC"/>
            <w:tcMar>
              <w:top w:w="100" w:type="dxa"/>
              <w:left w:w="120" w:type="dxa"/>
              <w:bottom w:w="100" w:type="dxa"/>
              <w:right w:w="120" w:type="dxa"/>
            </w:tcMar>
            <w:vAlign w:val="center"/>
          </w:tcPr>
          <w:p>
            <w:pPr>
              <w:spacing w:before="0" w:after="0"/>
              <w:jc w:val="center"/>
            </w:pPr>
            <w:r>
              <w:rPr>
                <w:sz w:val="17"/>
              </w:rPr>
              <w:t xml:space="preserve">1</w:t>
            </w:r>
          </w:p>
        </w:tc>
        <w:tc>
          <w:tcPr>
            <w:tcW w:w="1250" w:type="dxa"/>
            <w:tcBorders>
              <w:top w:val="single" w:sz="6" w:space="0" w:color="D9D9D9"/>
              <w:left w:val="single" w:sz="6" w:space="0" w:color="D9D9D9"/>
              <w:bottom w:val="single" w:sz="6" w:space="0" w:color="D9D9D9"/>
              <w:right w:val="single" w:sz="6" w:space="0" w:color="D9D9D9"/>
            </w:tcBorders>
            <w:shd w:val="clear" w:color="auto" w:fill="D9EAD3"/>
            <w:tcMar>
              <w:top w:w="100" w:type="dxa"/>
              <w:left w:w="120" w:type="dxa"/>
              <w:bottom w:w="100" w:type="dxa"/>
              <w:right w:w="120" w:type="dxa"/>
            </w:tcMar>
            <w:vAlign w:val="center"/>
          </w:tcPr>
          <w:p>
            <w:pPr>
              <w:spacing w:before="0" w:after="0"/>
              <w:jc w:val="center"/>
            </w:pPr>
            <w:r>
              <w:rPr>
                <w:sz w:val="17"/>
              </w:rPr>
              <w:t xml:space="preserve">4</w:t>
            </w:r>
          </w:p>
        </w:tc>
        <w:tc>
          <w:tcPr>
            <w:tcW w:w="1200" w:type="dxa"/>
            <w:tcBorders>
              <w:top w:val="single" w:sz="6" w:space="0" w:color="D9D9D9"/>
              <w:left w:val="single" w:sz="6" w:space="0" w:color="D9D9D9"/>
              <w:bottom w:val="single" w:sz="6" w:space="0" w:color="D9D9D9"/>
              <w:right w:val="single" w:sz="6" w:space="0" w:color="D9D9D9"/>
            </w:tcBorders>
            <w:shd w:val="clear" w:color="auto" w:fill="FFF2CC"/>
            <w:tcMar>
              <w:top w:w="100" w:type="dxa"/>
              <w:left w:w="120" w:type="dxa"/>
              <w:bottom w:w="100" w:type="dxa"/>
              <w:right w:w="120" w:type="dxa"/>
            </w:tcMar>
            <w:vAlign w:val="center"/>
          </w:tcPr>
          <w:p>
            <w:pPr>
              <w:spacing w:before="0" w:after="0"/>
              <w:jc w:val="center"/>
            </w:pPr>
            <w:r>
              <w:rPr>
                <w:sz w:val="17"/>
              </w:rPr>
              <w:t xml:space="preserve">3</w:t>
            </w:r>
          </w:p>
        </w:tc>
        <w:tc>
          <w:tcPr>
            <w:tcW w:w="35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b/>
              </w:rPr>
              <w:t xml:space="preserve">G.</w:t>
            </w:r>
            <w:r>
              <w:rPr>
                <w:sz w:val="17"/>
              </w:rPr>
              <w:t xml:space="preserve"> SecAudit is static only; it never executes or detonates a sample. Defender and McAfee add behaviour monitoring and cloud reputation (public product knowledge, not tested here).</w:t>
            </w:r>
          </w:p>
        </w:tc>
      </w:tr>
      <w:tr>
        <w:trPr>
          <w:cantSplit/>
        </w:trPr>
        <w:tc>
          <w:tcPr>
            <w:tcW w:w="185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Real-time protection</w:t>
            </w:r>
          </w:p>
        </w:tc>
        <w:tc>
          <w:tcPr>
            <w:tcW w:w="9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10</w:t>
            </w:r>
          </w:p>
        </w:tc>
        <w:tc>
          <w:tcPr>
            <w:tcW w:w="1250" w:type="dxa"/>
            <w:tcBorders>
              <w:top w:val="single" w:sz="6" w:space="0" w:color="D9D9D9"/>
              <w:left w:val="single" w:sz="6" w:space="0" w:color="D9D9D9"/>
              <w:bottom w:val="single" w:sz="6" w:space="0" w:color="D9D9D9"/>
              <w:right w:val="single" w:sz="6" w:space="0" w:color="D9D9D9"/>
            </w:tcBorders>
            <w:shd w:val="clear" w:color="auto" w:fill="F4CCCC"/>
            <w:tcMar>
              <w:top w:w="100" w:type="dxa"/>
              <w:left w:w="120" w:type="dxa"/>
              <w:bottom w:w="100" w:type="dxa"/>
              <w:right w:w="120" w:type="dxa"/>
            </w:tcMar>
            <w:vAlign w:val="center"/>
          </w:tcPr>
          <w:p>
            <w:pPr>
              <w:spacing w:before="0" w:after="0"/>
              <w:jc w:val="center"/>
            </w:pPr>
            <w:r>
              <w:rPr>
                <w:sz w:val="17"/>
              </w:rPr>
              <w:t xml:space="preserve">0</w:t>
            </w:r>
          </w:p>
        </w:tc>
        <w:tc>
          <w:tcPr>
            <w:tcW w:w="1250" w:type="dxa"/>
            <w:tcBorders>
              <w:top w:val="single" w:sz="6" w:space="0" w:color="D9D9D9"/>
              <w:left w:val="single" w:sz="6" w:space="0" w:color="D9D9D9"/>
              <w:bottom w:val="single" w:sz="6" w:space="0" w:color="D9D9D9"/>
              <w:right w:val="single" w:sz="6" w:space="0" w:color="D9D9D9"/>
            </w:tcBorders>
            <w:shd w:val="clear" w:color="auto" w:fill="D9EAD3"/>
            <w:tcMar>
              <w:top w:w="100" w:type="dxa"/>
              <w:left w:w="120" w:type="dxa"/>
              <w:bottom w:w="100" w:type="dxa"/>
              <w:right w:w="120" w:type="dxa"/>
            </w:tcMar>
            <w:vAlign w:val="center"/>
          </w:tcPr>
          <w:p>
            <w:pPr>
              <w:spacing w:before="0" w:after="0"/>
              <w:jc w:val="center"/>
            </w:pPr>
            <w:r>
              <w:rPr>
                <w:sz w:val="17"/>
              </w:rPr>
              <w:t xml:space="preserve">5</w:t>
            </w:r>
          </w:p>
        </w:tc>
        <w:tc>
          <w:tcPr>
            <w:tcW w:w="1200" w:type="dxa"/>
            <w:tcBorders>
              <w:top w:val="single" w:sz="6" w:space="0" w:color="D9D9D9"/>
              <w:left w:val="single" w:sz="6" w:space="0" w:color="D9D9D9"/>
              <w:bottom w:val="single" w:sz="6" w:space="0" w:color="D9D9D9"/>
              <w:right w:val="single" w:sz="6" w:space="0" w:color="D9D9D9"/>
            </w:tcBorders>
            <w:shd w:val="clear" w:color="auto" w:fill="D9EAD3"/>
            <w:tcMar>
              <w:top w:w="100" w:type="dxa"/>
              <w:left w:w="120" w:type="dxa"/>
              <w:bottom w:w="100" w:type="dxa"/>
              <w:right w:w="120" w:type="dxa"/>
            </w:tcMar>
            <w:vAlign w:val="center"/>
          </w:tcPr>
          <w:p>
            <w:pPr>
              <w:spacing w:before="0" w:after="0"/>
              <w:jc w:val="center"/>
            </w:pPr>
            <w:r>
              <w:rPr>
                <w:sz w:val="17"/>
              </w:rPr>
              <w:t xml:space="preserve">4</w:t>
            </w:r>
          </w:p>
        </w:tc>
        <w:tc>
          <w:tcPr>
            <w:tcW w:w="35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b/>
              </w:rPr>
              <w:t xml:space="preserve">O/G.</w:t>
            </w:r>
            <w:r>
              <w:rPr>
                <w:sz w:val="17"/>
              </w:rPr>
              <w:t xml:space="preserve"> SecAudit is on-demand by design. The McAfee screen states real-time scanning on file use; Defender is built into Windows.</w:t>
            </w:r>
          </w:p>
        </w:tc>
      </w:tr>
      <w:tr>
        <w:trPr>
          <w:cantSplit/>
        </w:trPr>
        <w:tc>
          <w:tcPr>
            <w:tcW w:w="185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Script and source analysis, explainability</w:t>
            </w:r>
          </w:p>
        </w:tc>
        <w:tc>
          <w:tcPr>
            <w:tcW w:w="9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15</w:t>
            </w:r>
          </w:p>
        </w:tc>
        <w:tc>
          <w:tcPr>
            <w:tcW w:w="1250" w:type="dxa"/>
            <w:tcBorders>
              <w:top w:val="single" w:sz="6" w:space="0" w:color="D9D9D9"/>
              <w:left w:val="single" w:sz="6" w:space="0" w:color="D9D9D9"/>
              <w:bottom w:val="single" w:sz="6" w:space="0" w:color="D9D9D9"/>
              <w:right w:val="single" w:sz="6" w:space="0" w:color="D9D9D9"/>
            </w:tcBorders>
            <w:shd w:val="clear" w:color="auto" w:fill="FFF2CC"/>
            <w:tcMar>
              <w:top w:w="100" w:type="dxa"/>
              <w:left w:w="120" w:type="dxa"/>
              <w:bottom w:w="100" w:type="dxa"/>
              <w:right w:w="120" w:type="dxa"/>
            </w:tcMar>
            <w:vAlign w:val="center"/>
          </w:tcPr>
          <w:p>
            <w:pPr>
              <w:spacing w:before="0" w:after="0"/>
              <w:jc w:val="center"/>
            </w:pPr>
            <w:r>
              <w:rPr>
                <w:sz w:val="17"/>
              </w:rPr>
              <w:t xml:space="preserve">3</w:t>
            </w:r>
          </w:p>
        </w:tc>
        <w:tc>
          <w:tcPr>
            <w:tcW w:w="1250" w:type="dxa"/>
            <w:tcBorders>
              <w:top w:val="single" w:sz="6" w:space="0" w:color="D9D9D9"/>
              <w:left w:val="single" w:sz="6" w:space="0" w:color="D9D9D9"/>
              <w:bottom w:val="single" w:sz="6" w:space="0" w:color="D9D9D9"/>
              <w:right w:val="single" w:sz="6" w:space="0" w:color="D9D9D9"/>
            </w:tcBorders>
            <w:shd w:val="clear" w:color="auto" w:fill="F4CCCC"/>
            <w:tcMar>
              <w:top w:w="100" w:type="dxa"/>
              <w:left w:w="120" w:type="dxa"/>
              <w:bottom w:w="100" w:type="dxa"/>
              <w:right w:w="120" w:type="dxa"/>
            </w:tcMar>
            <w:vAlign w:val="center"/>
          </w:tcPr>
          <w:p>
            <w:pPr>
              <w:spacing w:before="0" w:after="0"/>
              <w:jc w:val="center"/>
            </w:pPr>
            <w:r>
              <w:rPr>
                <w:sz w:val="17"/>
              </w:rPr>
              <w:t xml:space="preserve">1</w:t>
            </w:r>
          </w:p>
        </w:tc>
        <w:tc>
          <w:tcPr>
            <w:tcW w:w="1200" w:type="dxa"/>
            <w:tcBorders>
              <w:top w:val="single" w:sz="6" w:space="0" w:color="D9D9D9"/>
              <w:left w:val="single" w:sz="6" w:space="0" w:color="D9D9D9"/>
              <w:bottom w:val="single" w:sz="6" w:space="0" w:color="D9D9D9"/>
              <w:right w:val="single" w:sz="6" w:space="0" w:color="D9D9D9"/>
            </w:tcBorders>
            <w:shd w:val="clear" w:color="auto" w:fill="F4CCCC"/>
            <w:tcMar>
              <w:top w:w="100" w:type="dxa"/>
              <w:left w:w="120" w:type="dxa"/>
              <w:bottom w:w="100" w:type="dxa"/>
              <w:right w:w="120" w:type="dxa"/>
            </w:tcMar>
            <w:vAlign w:val="center"/>
          </w:tcPr>
          <w:p>
            <w:pPr>
              <w:spacing w:before="0" w:after="0"/>
              <w:jc w:val="center"/>
            </w:pPr>
            <w:r>
              <w:rPr>
                <w:sz w:val="17"/>
              </w:rPr>
              <w:t xml:space="preserve">1</w:t>
            </w:r>
          </w:p>
        </w:tc>
        <w:tc>
          <w:tcPr>
            <w:tcW w:w="35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b/>
              </w:rPr>
              <w:t xml:space="preserve">O.</w:t>
            </w:r>
            <w:r>
              <w:rPr>
                <w:sz w:val="17"/>
              </w:rPr>
              <w:t xml:space="preserve"> SecAudit gives rule, scope, per-check coverage and optional model explanation, but this run's findings carry generic snippets, line 1 and no CWE, the built-in review returned 0 findings, and the model call failed. Commercial AV returns a detection, not an explanation.</w:t>
            </w:r>
          </w:p>
        </w:tc>
      </w:tr>
      <w:tr>
        <w:trPr>
          <w:cantSplit/>
        </w:trPr>
        <w:tc>
          <w:tcPr>
            <w:tcW w:w="185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Evidence, reporting and audit trail</w:t>
            </w:r>
          </w:p>
        </w:tc>
        <w:tc>
          <w:tcPr>
            <w:tcW w:w="9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10</w:t>
            </w:r>
          </w:p>
        </w:tc>
        <w:tc>
          <w:tcPr>
            <w:tcW w:w="1250" w:type="dxa"/>
            <w:tcBorders>
              <w:top w:val="single" w:sz="6" w:space="0" w:color="D9D9D9"/>
              <w:left w:val="single" w:sz="6" w:space="0" w:color="D9D9D9"/>
              <w:bottom w:val="single" w:sz="6" w:space="0" w:color="D9D9D9"/>
              <w:right w:val="single" w:sz="6" w:space="0" w:color="D9D9D9"/>
            </w:tcBorders>
            <w:shd w:val="clear" w:color="auto" w:fill="D9EAD3"/>
            <w:tcMar>
              <w:top w:w="100" w:type="dxa"/>
              <w:left w:w="120" w:type="dxa"/>
              <w:bottom w:w="100" w:type="dxa"/>
              <w:right w:w="120" w:type="dxa"/>
            </w:tcMar>
            <w:vAlign w:val="center"/>
          </w:tcPr>
          <w:p>
            <w:pPr>
              <w:spacing w:before="0" w:after="0"/>
              <w:jc w:val="center"/>
            </w:pPr>
            <w:r>
              <w:rPr>
                <w:sz w:val="17"/>
              </w:rPr>
              <w:t xml:space="preserve">4</w:t>
            </w:r>
          </w:p>
        </w:tc>
        <w:tc>
          <w:tcPr>
            <w:tcW w:w="1250" w:type="dxa"/>
            <w:tcBorders>
              <w:top w:val="single" w:sz="6" w:space="0" w:color="D9D9D9"/>
              <w:left w:val="single" w:sz="6" w:space="0" w:color="D9D9D9"/>
              <w:bottom w:val="single" w:sz="6" w:space="0" w:color="D9D9D9"/>
              <w:right w:val="single" w:sz="6" w:space="0" w:color="D9D9D9"/>
            </w:tcBorders>
            <w:shd w:val="clear" w:color="auto" w:fill="FFF2CC"/>
            <w:tcMar>
              <w:top w:w="100" w:type="dxa"/>
              <w:left w:w="120" w:type="dxa"/>
              <w:bottom w:w="100" w:type="dxa"/>
              <w:right w:w="120" w:type="dxa"/>
            </w:tcMar>
            <w:vAlign w:val="center"/>
          </w:tcPr>
          <w:p>
            <w:pPr>
              <w:spacing w:before="0" w:after="0"/>
              <w:jc w:val="center"/>
            </w:pPr>
            <w:r>
              <w:rPr>
                <w:sz w:val="17"/>
              </w:rPr>
              <w:t xml:space="preserve">3</w:t>
            </w:r>
          </w:p>
        </w:tc>
        <w:tc>
          <w:tcPr>
            <w:tcW w:w="1200" w:type="dxa"/>
            <w:tcBorders>
              <w:top w:val="single" w:sz="6" w:space="0" w:color="D9D9D9"/>
              <w:left w:val="single" w:sz="6" w:space="0" w:color="D9D9D9"/>
              <w:bottom w:val="single" w:sz="6" w:space="0" w:color="D9D9D9"/>
              <w:right w:val="single" w:sz="6" w:space="0" w:color="D9D9D9"/>
            </w:tcBorders>
            <w:shd w:val="clear" w:color="auto" w:fill="FCE5CD"/>
            <w:tcMar>
              <w:top w:w="100" w:type="dxa"/>
              <w:left w:w="120" w:type="dxa"/>
              <w:bottom w:w="100" w:type="dxa"/>
              <w:right w:w="120" w:type="dxa"/>
            </w:tcMar>
            <w:vAlign w:val="center"/>
          </w:tcPr>
          <w:p>
            <w:pPr>
              <w:spacing w:before="0" w:after="0"/>
              <w:jc w:val="center"/>
            </w:pPr>
            <w:r>
              <w:rPr>
                <w:sz w:val="17"/>
              </w:rPr>
              <w:t xml:space="preserve">2</w:t>
            </w:r>
          </w:p>
        </w:tc>
        <w:tc>
          <w:tcPr>
            <w:tcW w:w="35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b/>
              </w:rPr>
              <w:t xml:space="preserve">O/G.</w:t>
            </w:r>
            <w:r>
              <w:rPr>
                <w:sz w:val="17"/>
              </w:rPr>
              <w:t xml:space="preserve"> SARIF 2.1.0, hashes and a signed ledger all verify. Deductions: tool named Strix, self-signed key, no timestamp. Defender keeps Protection history; McAfee shows a summary screen.</w:t>
            </w:r>
          </w:p>
        </w:tc>
      </w:tr>
      <w:tr>
        <w:trPr>
          <w:cantSplit/>
        </w:trPr>
        <w:tc>
          <w:tcPr>
            <w:tcW w:w="185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Honesty about coverage and limits</w:t>
            </w:r>
          </w:p>
        </w:tc>
        <w:tc>
          <w:tcPr>
            <w:tcW w:w="9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10</w:t>
            </w:r>
          </w:p>
        </w:tc>
        <w:tc>
          <w:tcPr>
            <w:tcW w:w="1250" w:type="dxa"/>
            <w:tcBorders>
              <w:top w:val="single" w:sz="6" w:space="0" w:color="D9D9D9"/>
              <w:left w:val="single" w:sz="6" w:space="0" w:color="D9D9D9"/>
              <w:bottom w:val="single" w:sz="6" w:space="0" w:color="D9D9D9"/>
              <w:right w:val="single" w:sz="6" w:space="0" w:color="D9D9D9"/>
            </w:tcBorders>
            <w:shd w:val="clear" w:color="auto" w:fill="D9EAD3"/>
            <w:tcMar>
              <w:top w:w="100" w:type="dxa"/>
              <w:left w:w="120" w:type="dxa"/>
              <w:bottom w:w="100" w:type="dxa"/>
              <w:right w:w="120" w:type="dxa"/>
            </w:tcMar>
            <w:vAlign w:val="center"/>
          </w:tcPr>
          <w:p>
            <w:pPr>
              <w:spacing w:before="0" w:after="0"/>
              <w:jc w:val="center"/>
            </w:pPr>
            <w:r>
              <w:rPr>
                <w:sz w:val="17"/>
              </w:rPr>
              <w:t xml:space="preserve">4</w:t>
            </w:r>
          </w:p>
        </w:tc>
        <w:tc>
          <w:tcPr>
            <w:tcW w:w="1250" w:type="dxa"/>
            <w:tcBorders>
              <w:top w:val="single" w:sz="6" w:space="0" w:color="D9D9D9"/>
              <w:left w:val="single" w:sz="6" w:space="0" w:color="D9D9D9"/>
              <w:bottom w:val="single" w:sz="6" w:space="0" w:color="D9D9D9"/>
              <w:right w:val="single" w:sz="6" w:space="0" w:color="D9D9D9"/>
            </w:tcBorders>
            <w:shd w:val="clear" w:color="auto" w:fill="FFF2CC"/>
            <w:tcMar>
              <w:top w:w="100" w:type="dxa"/>
              <w:left w:w="120" w:type="dxa"/>
              <w:bottom w:w="100" w:type="dxa"/>
              <w:right w:w="120" w:type="dxa"/>
            </w:tcMar>
            <w:vAlign w:val="center"/>
          </w:tcPr>
          <w:p>
            <w:pPr>
              <w:spacing w:before="0" w:after="0"/>
              <w:jc w:val="center"/>
            </w:pPr>
            <w:r>
              <w:rPr>
                <w:sz w:val="17"/>
              </w:rPr>
              <w:t xml:space="preserve">3</w:t>
            </w:r>
          </w:p>
        </w:tc>
        <w:tc>
          <w:tcPr>
            <w:tcW w:w="1200" w:type="dxa"/>
            <w:tcBorders>
              <w:top w:val="single" w:sz="6" w:space="0" w:color="D9D9D9"/>
              <w:left w:val="single" w:sz="6" w:space="0" w:color="D9D9D9"/>
              <w:bottom w:val="single" w:sz="6" w:space="0" w:color="D9D9D9"/>
              <w:right w:val="single" w:sz="6" w:space="0" w:color="D9D9D9"/>
            </w:tcBorders>
            <w:shd w:val="clear" w:color="auto" w:fill="FCE5CD"/>
            <w:tcMar>
              <w:top w:w="100" w:type="dxa"/>
              <w:left w:w="120" w:type="dxa"/>
              <w:bottom w:w="100" w:type="dxa"/>
              <w:right w:w="120" w:type="dxa"/>
            </w:tcMar>
            <w:vAlign w:val="center"/>
          </w:tcPr>
          <w:p>
            <w:pPr>
              <w:spacing w:before="0" w:after="0"/>
              <w:jc w:val="center"/>
            </w:pPr>
            <w:r>
              <w:rPr>
                <w:sz w:val="17"/>
              </w:rPr>
              <w:t xml:space="preserve">2</w:t>
            </w:r>
          </w:p>
        </w:tc>
        <w:tc>
          <w:tcPr>
            <w:tcW w:w="35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b/>
              </w:rPr>
              <w:t xml:space="preserve">O.</w:t>
            </w:r>
            <w:r>
              <w:rPr>
                <w:sz w:val="17"/>
              </w:rPr>
              <w:t xml:space="preserve"> SecAudit reported stale signatures as unavailable and the model failure as incomplete, not clean; but 6 of 8 skipped files have no stated reason. McAfee's screen says you're protected after 18 items.</w:t>
            </w:r>
          </w:p>
        </w:tc>
      </w:tr>
      <w:tr>
        <w:trPr>
          <w:cantSplit/>
        </w:trPr>
        <w:tc>
          <w:tcPr>
            <w:tcW w:w="185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Privacy and local-first operation</w:t>
            </w:r>
          </w:p>
        </w:tc>
        <w:tc>
          <w:tcPr>
            <w:tcW w:w="9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5</w:t>
            </w:r>
          </w:p>
        </w:tc>
        <w:tc>
          <w:tcPr>
            <w:tcW w:w="1250" w:type="dxa"/>
            <w:tcBorders>
              <w:top w:val="single" w:sz="6" w:space="0" w:color="D9D9D9"/>
              <w:left w:val="single" w:sz="6" w:space="0" w:color="D9D9D9"/>
              <w:bottom w:val="single" w:sz="6" w:space="0" w:color="D9D9D9"/>
              <w:right w:val="single" w:sz="6" w:space="0" w:color="D9D9D9"/>
            </w:tcBorders>
            <w:shd w:val="clear" w:color="auto" w:fill="D9EAD3"/>
            <w:tcMar>
              <w:top w:w="100" w:type="dxa"/>
              <w:left w:w="120" w:type="dxa"/>
              <w:bottom w:w="100" w:type="dxa"/>
              <w:right w:w="120" w:type="dxa"/>
            </w:tcMar>
            <w:vAlign w:val="center"/>
          </w:tcPr>
          <w:p>
            <w:pPr>
              <w:spacing w:before="0" w:after="0"/>
              <w:jc w:val="center"/>
            </w:pPr>
            <w:r>
              <w:rPr>
                <w:sz w:val="17"/>
              </w:rPr>
              <w:t xml:space="preserve">4</w:t>
            </w:r>
          </w:p>
        </w:tc>
        <w:tc>
          <w:tcPr>
            <w:tcW w:w="1250" w:type="dxa"/>
            <w:tcBorders>
              <w:top w:val="single" w:sz="6" w:space="0" w:color="D9D9D9"/>
              <w:left w:val="single" w:sz="6" w:space="0" w:color="D9D9D9"/>
              <w:bottom w:val="single" w:sz="6" w:space="0" w:color="D9D9D9"/>
              <w:right w:val="single" w:sz="6" w:space="0" w:color="D9D9D9"/>
            </w:tcBorders>
            <w:shd w:val="clear" w:color="auto" w:fill="FFF2CC"/>
            <w:tcMar>
              <w:top w:w="100" w:type="dxa"/>
              <w:left w:w="120" w:type="dxa"/>
              <w:bottom w:w="100" w:type="dxa"/>
              <w:right w:w="120" w:type="dxa"/>
            </w:tcMar>
            <w:vAlign w:val="center"/>
          </w:tcPr>
          <w:p>
            <w:pPr>
              <w:spacing w:before="0" w:after="0"/>
              <w:jc w:val="center"/>
            </w:pPr>
            <w:r>
              <w:rPr>
                <w:sz w:val="17"/>
              </w:rPr>
              <w:t xml:space="preserve">3</w:t>
            </w:r>
          </w:p>
        </w:tc>
        <w:tc>
          <w:tcPr>
            <w:tcW w:w="1200" w:type="dxa"/>
            <w:tcBorders>
              <w:top w:val="single" w:sz="6" w:space="0" w:color="D9D9D9"/>
              <w:left w:val="single" w:sz="6" w:space="0" w:color="D9D9D9"/>
              <w:bottom w:val="single" w:sz="6" w:space="0" w:color="D9D9D9"/>
              <w:right w:val="single" w:sz="6" w:space="0" w:color="D9D9D9"/>
            </w:tcBorders>
            <w:shd w:val="clear" w:color="auto" w:fill="FFF2CC"/>
            <w:tcMar>
              <w:top w:w="100" w:type="dxa"/>
              <w:left w:w="120" w:type="dxa"/>
              <w:bottom w:w="100" w:type="dxa"/>
              <w:right w:w="120" w:type="dxa"/>
            </w:tcMar>
            <w:vAlign w:val="center"/>
          </w:tcPr>
          <w:p>
            <w:pPr>
              <w:spacing w:before="0" w:after="0"/>
              <w:jc w:val="center"/>
            </w:pPr>
            <w:r>
              <w:rPr>
                <w:sz w:val="17"/>
              </w:rPr>
              <w:t xml:space="preserve">3</w:t>
            </w:r>
          </w:p>
        </w:tc>
        <w:tc>
          <w:tcPr>
            <w:tcW w:w="35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b/>
              </w:rPr>
              <w:t xml:space="preserve">G.</w:t>
            </w:r>
            <w:r>
              <w:rPr>
                <w:sz w:val="17"/>
              </w:rPr>
              <w:t xml:space="preserve"> Local scanning and local models by default, optional Cloud with disclosure; offline mode is application-level, not a firewall. Commercial products use cloud lookups and accounts (not tested here).</w:t>
            </w:r>
          </w:p>
        </w:tc>
      </w:tr>
      <w:tr>
        <w:trPr>
          <w:cantSplit/>
        </w:trPr>
        <w:tc>
          <w:tcPr>
            <w:tcW w:w="185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Response and remediation</w:t>
            </w:r>
          </w:p>
        </w:tc>
        <w:tc>
          <w:tcPr>
            <w:tcW w:w="9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5</w:t>
            </w:r>
          </w:p>
        </w:tc>
        <w:tc>
          <w:tcPr>
            <w:tcW w:w="1250" w:type="dxa"/>
            <w:tcBorders>
              <w:top w:val="single" w:sz="6" w:space="0" w:color="D9D9D9"/>
              <w:left w:val="single" w:sz="6" w:space="0" w:color="D9D9D9"/>
              <w:bottom w:val="single" w:sz="6" w:space="0" w:color="D9D9D9"/>
              <w:right w:val="single" w:sz="6" w:space="0" w:color="D9D9D9"/>
            </w:tcBorders>
            <w:shd w:val="clear" w:color="auto" w:fill="FCE5CD"/>
            <w:tcMar>
              <w:top w:w="100" w:type="dxa"/>
              <w:left w:w="120" w:type="dxa"/>
              <w:bottom w:w="100" w:type="dxa"/>
              <w:right w:w="120" w:type="dxa"/>
            </w:tcMar>
            <w:vAlign w:val="center"/>
          </w:tcPr>
          <w:p>
            <w:pPr>
              <w:spacing w:before="0" w:after="0"/>
              <w:jc w:val="center"/>
            </w:pPr>
            <w:r>
              <w:rPr>
                <w:sz w:val="17"/>
              </w:rPr>
              <w:t xml:space="preserve">2</w:t>
            </w:r>
          </w:p>
        </w:tc>
        <w:tc>
          <w:tcPr>
            <w:tcW w:w="1250" w:type="dxa"/>
            <w:tcBorders>
              <w:top w:val="single" w:sz="6" w:space="0" w:color="D9D9D9"/>
              <w:left w:val="single" w:sz="6" w:space="0" w:color="D9D9D9"/>
              <w:bottom w:val="single" w:sz="6" w:space="0" w:color="D9D9D9"/>
              <w:right w:val="single" w:sz="6" w:space="0" w:color="D9D9D9"/>
            </w:tcBorders>
            <w:shd w:val="clear" w:color="auto" w:fill="D9EAD3"/>
            <w:tcMar>
              <w:top w:w="100" w:type="dxa"/>
              <w:left w:w="120" w:type="dxa"/>
              <w:bottom w:w="100" w:type="dxa"/>
              <w:right w:w="120" w:type="dxa"/>
            </w:tcMar>
            <w:vAlign w:val="center"/>
          </w:tcPr>
          <w:p>
            <w:pPr>
              <w:spacing w:before="0" w:after="0"/>
              <w:jc w:val="center"/>
            </w:pPr>
            <w:r>
              <w:rPr>
                <w:sz w:val="17"/>
              </w:rPr>
              <w:t xml:space="preserve">5</w:t>
            </w:r>
          </w:p>
        </w:tc>
        <w:tc>
          <w:tcPr>
            <w:tcW w:w="1200" w:type="dxa"/>
            <w:tcBorders>
              <w:top w:val="single" w:sz="6" w:space="0" w:color="D9D9D9"/>
              <w:left w:val="single" w:sz="6" w:space="0" w:color="D9D9D9"/>
              <w:bottom w:val="single" w:sz="6" w:space="0" w:color="D9D9D9"/>
              <w:right w:val="single" w:sz="6" w:space="0" w:color="D9D9D9"/>
            </w:tcBorders>
            <w:shd w:val="clear" w:color="auto" w:fill="D9EAD3"/>
            <w:tcMar>
              <w:top w:w="100" w:type="dxa"/>
              <w:left w:w="120" w:type="dxa"/>
              <w:bottom w:w="100" w:type="dxa"/>
              <w:right w:w="120" w:type="dxa"/>
            </w:tcMar>
            <w:vAlign w:val="center"/>
          </w:tcPr>
          <w:p>
            <w:pPr>
              <w:spacing w:before="0" w:after="0"/>
              <w:jc w:val="center"/>
            </w:pPr>
            <w:r>
              <w:rPr>
                <w:sz w:val="17"/>
              </w:rPr>
              <w:t xml:space="preserve">4</w:t>
            </w:r>
          </w:p>
        </w:tc>
        <w:tc>
          <w:tcPr>
            <w:tcW w:w="35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b/>
              </w:rPr>
              <w:t xml:space="preserve">O.</w:t>
            </w:r>
            <w:r>
              <w:rPr>
                <w:sz w:val="17"/>
              </w:rPr>
              <w:t xml:space="preserve"> Defender cleaned the 4 threats (screenshot). SecAudit quarantines only ClamAV detections, after confirmation, with hash-verified restore.</w:t>
            </w:r>
          </w:p>
        </w:tc>
      </w:tr>
      <w:tr>
        <w:trPr>
          <w:cantSplit/>
        </w:trPr>
        <w:tc>
          <w:tcPr>
            <w:tcW w:w="185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Scope control and safe-by-design</w:t>
            </w:r>
          </w:p>
        </w:tc>
        <w:tc>
          <w:tcPr>
            <w:tcW w:w="9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5</w:t>
            </w:r>
          </w:p>
        </w:tc>
        <w:tc>
          <w:tcPr>
            <w:tcW w:w="1250" w:type="dxa"/>
            <w:tcBorders>
              <w:top w:val="single" w:sz="6" w:space="0" w:color="D9D9D9"/>
              <w:left w:val="single" w:sz="6" w:space="0" w:color="D9D9D9"/>
              <w:bottom w:val="single" w:sz="6" w:space="0" w:color="D9D9D9"/>
              <w:right w:val="single" w:sz="6" w:space="0" w:color="D9D9D9"/>
            </w:tcBorders>
            <w:shd w:val="clear" w:color="auto" w:fill="D9EAD3"/>
            <w:tcMar>
              <w:top w:w="100" w:type="dxa"/>
              <w:left w:w="120" w:type="dxa"/>
              <w:bottom w:w="100" w:type="dxa"/>
              <w:right w:w="120" w:type="dxa"/>
            </w:tcMar>
            <w:vAlign w:val="center"/>
          </w:tcPr>
          <w:p>
            <w:pPr>
              <w:spacing w:before="0" w:after="0"/>
              <w:jc w:val="center"/>
            </w:pPr>
            <w:r>
              <w:rPr>
                <w:sz w:val="17"/>
              </w:rPr>
              <w:t xml:space="preserve">5</w:t>
            </w:r>
          </w:p>
        </w:tc>
        <w:tc>
          <w:tcPr>
            <w:tcW w:w="1250" w:type="dxa"/>
            <w:tcBorders>
              <w:top w:val="single" w:sz="6" w:space="0" w:color="D9D9D9"/>
              <w:left w:val="single" w:sz="6" w:space="0" w:color="D9D9D9"/>
              <w:bottom w:val="single" w:sz="6" w:space="0" w:color="D9D9D9"/>
              <w:right w:val="single" w:sz="6" w:space="0" w:color="D9D9D9"/>
            </w:tcBorders>
            <w:shd w:val="clear" w:color="auto" w:fill="FFF2CC"/>
            <w:tcMar>
              <w:top w:w="100" w:type="dxa"/>
              <w:left w:w="120" w:type="dxa"/>
              <w:bottom w:w="100" w:type="dxa"/>
              <w:right w:w="120" w:type="dxa"/>
            </w:tcMar>
            <w:vAlign w:val="center"/>
          </w:tcPr>
          <w:p>
            <w:pPr>
              <w:spacing w:before="0" w:after="0"/>
              <w:jc w:val="center"/>
            </w:pPr>
            <w:r>
              <w:rPr>
                <w:sz w:val="17"/>
              </w:rPr>
              <w:t xml:space="preserve">3</w:t>
            </w:r>
          </w:p>
        </w:tc>
        <w:tc>
          <w:tcPr>
            <w:tcW w:w="1200" w:type="dxa"/>
            <w:tcBorders>
              <w:top w:val="single" w:sz="6" w:space="0" w:color="D9D9D9"/>
              <w:left w:val="single" w:sz="6" w:space="0" w:color="D9D9D9"/>
              <w:bottom w:val="single" w:sz="6" w:space="0" w:color="D9D9D9"/>
              <w:right w:val="single" w:sz="6" w:space="0" w:color="D9D9D9"/>
            </w:tcBorders>
            <w:shd w:val="clear" w:color="auto" w:fill="FFF2CC"/>
            <w:tcMar>
              <w:top w:w="100" w:type="dxa"/>
              <w:left w:w="120" w:type="dxa"/>
              <w:bottom w:w="100" w:type="dxa"/>
              <w:right w:w="120" w:type="dxa"/>
            </w:tcMar>
            <w:vAlign w:val="center"/>
          </w:tcPr>
          <w:p>
            <w:pPr>
              <w:spacing w:before="0" w:after="0"/>
              <w:jc w:val="center"/>
            </w:pPr>
            <w:r>
              <w:rPr>
                <w:sz w:val="17"/>
              </w:rPr>
              <w:t xml:space="preserve">3</w:t>
            </w:r>
          </w:p>
        </w:tc>
        <w:tc>
          <w:tcPr>
            <w:tcW w:w="35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b/>
              </w:rPr>
              <w:t xml:space="preserve">O/G.</w:t>
            </w:r>
            <w:r>
              <w:rPr>
                <w:sz w:val="17"/>
              </w:rPr>
              <w:t xml:space="preserve"> SecAudit scans only confirmed paths, is read-only and allow-lists lab targets. Endpoint products need broad system access by design.</w:t>
            </w:r>
          </w:p>
        </w:tc>
      </w:tr>
      <w:tr>
        <w:trPr>
          <w:cantSplit/>
        </w:trPr>
        <w:tc>
          <w:tcPr>
            <w:tcW w:w="185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Speed and footprint</w:t>
            </w:r>
          </w:p>
        </w:tc>
        <w:tc>
          <w:tcPr>
            <w:tcW w:w="9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5</w:t>
            </w:r>
          </w:p>
        </w:tc>
        <w:tc>
          <w:tcPr>
            <w:tcW w:w="1250" w:type="dxa"/>
            <w:tcBorders>
              <w:top w:val="single" w:sz="6" w:space="0" w:color="D9D9D9"/>
              <w:left w:val="single" w:sz="6" w:space="0" w:color="D9D9D9"/>
              <w:bottom w:val="single" w:sz="6" w:space="0" w:color="D9D9D9"/>
              <w:right w:val="single" w:sz="6" w:space="0" w:color="D9D9D9"/>
            </w:tcBorders>
            <w:shd w:val="clear" w:color="auto" w:fill="FCE5CD"/>
            <w:tcMar>
              <w:top w:w="100" w:type="dxa"/>
              <w:left w:w="120" w:type="dxa"/>
              <w:bottom w:w="100" w:type="dxa"/>
              <w:right w:w="120" w:type="dxa"/>
            </w:tcMar>
            <w:vAlign w:val="center"/>
          </w:tcPr>
          <w:p>
            <w:pPr>
              <w:spacing w:before="0" w:after="0"/>
              <w:jc w:val="center"/>
            </w:pPr>
            <w:r>
              <w:rPr>
                <w:sz w:val="17"/>
              </w:rPr>
              <w:t xml:space="preserve">2</w:t>
            </w:r>
          </w:p>
        </w:tc>
        <w:tc>
          <w:tcPr>
            <w:tcW w:w="1250" w:type="dxa"/>
            <w:tcBorders>
              <w:top w:val="single" w:sz="6" w:space="0" w:color="D9D9D9"/>
              <w:left w:val="single" w:sz="6" w:space="0" w:color="D9D9D9"/>
              <w:bottom w:val="single" w:sz="6" w:space="0" w:color="D9D9D9"/>
              <w:right w:val="single" w:sz="6" w:space="0" w:color="D9D9D9"/>
            </w:tcBorders>
            <w:shd w:val="clear" w:color="auto" w:fill="D9EAD3"/>
            <w:tcMar>
              <w:top w:w="100" w:type="dxa"/>
              <w:left w:w="120" w:type="dxa"/>
              <w:bottom w:w="100" w:type="dxa"/>
              <w:right w:w="120" w:type="dxa"/>
            </w:tcMar>
            <w:vAlign w:val="center"/>
          </w:tcPr>
          <w:p>
            <w:pPr>
              <w:spacing w:before="0" w:after="0"/>
              <w:jc w:val="center"/>
            </w:pPr>
            <w:r>
              <w:rPr>
                <w:sz w:val="17"/>
              </w:rPr>
              <w:t xml:space="preserve">5</w:t>
            </w:r>
          </w:p>
        </w:tc>
        <w:tc>
          <w:tcPr>
            <w:tcW w:w="1200" w:type="dxa"/>
            <w:tcBorders>
              <w:top w:val="single" w:sz="6" w:space="0" w:color="D9D9D9"/>
              <w:left w:val="single" w:sz="6" w:space="0" w:color="D9D9D9"/>
              <w:bottom w:val="single" w:sz="6" w:space="0" w:color="D9D9D9"/>
              <w:right w:val="single" w:sz="6" w:space="0" w:color="D9D9D9"/>
            </w:tcBorders>
            <w:shd w:val="clear" w:color="auto" w:fill="D9EAD3"/>
            <w:tcMar>
              <w:top w:w="100" w:type="dxa"/>
              <w:left w:w="120" w:type="dxa"/>
              <w:bottom w:w="100" w:type="dxa"/>
              <w:right w:w="120" w:type="dxa"/>
            </w:tcMar>
            <w:vAlign w:val="center"/>
          </w:tcPr>
          <w:p>
            <w:pPr>
              <w:spacing w:before="0" w:after="0"/>
              <w:jc w:val="center"/>
            </w:pPr>
            <w:r>
              <w:rPr>
                <w:sz w:val="17"/>
              </w:rPr>
              <w:t xml:space="preserve">4</w:t>
            </w:r>
          </w:p>
        </w:tc>
        <w:tc>
          <w:tcPr>
            <w:tcW w:w="35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b/>
              </w:rPr>
              <w:t xml:space="preserve">O.</w:t>
            </w:r>
            <w:r>
              <w:rPr>
                <w:sz w:val="17"/>
              </w:rPr>
              <w:t xml:space="preserve"> Defender quick scan: 39,972 files in 1 min 31 s. SecAudit: 8 min 50 s elapsed and still reviewing one target with a local model; UI process about 97 MB (the model runs separately in Ollama).</w:t>
            </w:r>
          </w:p>
        </w:tc>
      </w:tr>
      <w:tr>
        <w:trPr>
          <w:cantSplit/>
        </w:trPr>
        <w:tc>
          <w:tcPr>
            <w:tcW w:w="185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b/>
              </w:rPr>
              <w:t xml:space="preserve">Weighted total (of 100)</w:t>
            </w:r>
          </w:p>
        </w:tc>
        <w:tc>
          <w:tcPr>
            <w:tcW w:w="9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100</w:t>
            </w:r>
          </w:p>
        </w:tc>
        <w:tc>
          <w:tcPr>
            <w:tcW w:w="125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b/>
              </w:rPr>
              <w:t xml:space="preserve">45</w:t>
            </w:r>
          </w:p>
        </w:tc>
        <w:tc>
          <w:tcPr>
            <w:tcW w:w="125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b/>
              </w:rPr>
              <w:t xml:space="preserve">73</w:t>
            </w:r>
          </w:p>
        </w:tc>
        <w:tc>
          <w:tcPr>
            <w:tcW w:w="12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b/>
              </w:rPr>
              <w:t xml:space="preserve">54</w:t>
            </w:r>
          </w:p>
        </w:tc>
        <w:tc>
          <w:tcPr>
            <w:tcW w:w="35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Sum of weight × score ÷ 5.</w:t>
            </w:r>
          </w:p>
        </w:tc>
      </w:tr>
      <w:tr>
        <w:trPr>
          <w:cantSplit/>
        </w:trPr>
        <w:tc>
          <w:tcPr>
            <w:tcW w:w="185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b/>
              </w:rPr>
              <w:t xml:space="preserve">Protection lens (%)</w:t>
            </w:r>
          </w:p>
        </w:tc>
        <w:tc>
          <w:tcPr>
            <w:tcW w:w="9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55</w:t>
            </w:r>
          </w:p>
        </w:tc>
        <w:tc>
          <w:tcPr>
            <w:tcW w:w="125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20%</w:t>
            </w:r>
          </w:p>
        </w:tc>
        <w:tc>
          <w:tcPr>
            <w:tcW w:w="125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95%</w:t>
            </w:r>
          </w:p>
        </w:tc>
        <w:tc>
          <w:tcPr>
            <w:tcW w:w="12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67%</w:t>
            </w:r>
          </w:p>
        </w:tc>
        <w:tc>
          <w:tcPr>
            <w:tcW w:w="35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Malware detection, behaviour detection, real-time protection, response, speed.</w:t>
            </w:r>
          </w:p>
        </w:tc>
      </w:tr>
      <w:tr>
        <w:trPr>
          <w:cantSplit/>
        </w:trPr>
        <w:tc>
          <w:tcPr>
            <w:tcW w:w="185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b/>
              </w:rPr>
              <w:t xml:space="preserve">Review and audit lens (%)</w:t>
            </w:r>
          </w:p>
        </w:tc>
        <w:tc>
          <w:tcPr>
            <w:tcW w:w="9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45</w:t>
            </w:r>
          </w:p>
        </w:tc>
        <w:tc>
          <w:tcPr>
            <w:tcW w:w="125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76%</w:t>
            </w:r>
          </w:p>
        </w:tc>
        <w:tc>
          <w:tcPr>
            <w:tcW w:w="125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47%</w:t>
            </w:r>
          </w:p>
        </w:tc>
        <w:tc>
          <w:tcPr>
            <w:tcW w:w="12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38%</w:t>
            </w:r>
          </w:p>
        </w:tc>
        <w:tc>
          <w:tcPr>
            <w:tcW w:w="35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Script analysis, evidence, honesty, privacy, scope control.</w:t>
            </w:r>
          </w:p>
        </w:tc>
      </w:tr>
    </w:tbl>
    <w:p>
      <w:pPr>
        <w:spacing w:after="20"/>
      </w:pPr>
    </w:p>
    <w:p>
      <w:pPr>
        <w:pStyle w:val="Heading2"/>
      </w:pPr>
      <w:r>
        <w:rPr>
          <w:rFonts w:ascii="Aptos" w:hAnsi="Aptos"/>
          <w:b w:val="0"/>
          <w:color w:val="222222"/>
          <w:sz w:val="21"/>
        </w:rPr>
        <w:t xml:space="preserve">How to read the scores</w:t>
      </w:r>
    </w:p>
    <w:p>
      <w:pPr>
        <w:pStyle w:val="ListBullet"/>
        <w:spacing w:after="60"/>
      </w:pPr>
      <w:r>
        <w:t xml:space="preserve">SecAudit is a review and evidence tool, not an antivirus or XDR. It scores low on protection criteria by design and should not replace Defender or McAfee.</w:t>
      </w:r>
    </w:p>
    <w:p>
      <w:pPr>
        <w:pStyle w:val="ListBullet"/>
        <w:spacing w:after="60"/>
      </w:pPr>
      <w:r>
        <w:t xml:space="preserve">On the review and audit lens SecAudit scores 76%, ahead of Defender (47%) and McAfee (38%), because of scope control, honest coverage reporting and verifiable evidence.</w:t>
      </w:r>
    </w:p>
    <w:p>
      <w:pPr>
        <w:pStyle w:val="ListBullet"/>
        <w:spacing w:after="60"/>
      </w:pPr>
      <w:r>
        <w:t xml:space="preserve">Scores marked G are indicative; check them against vendor documentation before using them outside the company.</w:t>
      </w:r>
    </w:p>
    <w:p>
      <w:pPr>
        <w:pStyle w:val="Heading2"/>
      </w:pPr>
      <w:r>
        <w:rPr>
          <w:rFonts w:ascii="Aptos" w:hAnsi="Aptos"/>
          <w:b w:val="0"/>
          <w:color w:val="222222"/>
          <w:sz w:val="21"/>
        </w:rPr>
        <w:t xml:space="preserve">Evidence pack verification</w:t>
      </w:r>
    </w:p>
    <w:p>
      <w:r>
        <w:t xml:space="preserve">I independently re-checked the exported pack (manifest.json, ledger.json, report.json, findings.sarif, signature.ed25519, public_key.pem).</w:t>
      </w:r>
    </w:p>
    <w:tbl>
      <w:tblPr>
        <w:tblStyle w:val="TableGrid"/>
        <w:tblW w:w="9990" w:type="dxa"/>
        <w:jc w:val="center"/>
        <w:tblLayout w:type="fixed"/>
        <w:tblLook w:val="04A0" w:firstRow="1" w:lastRow="0" w:firstColumn="1" w:lastColumn="0" w:noHBand="0" w:noVBand="1"/>
      </w:tblPr>
      <w:tblGrid>
        <w:gridCol w:w="4300"/>
        <w:gridCol w:w="1100"/>
        <w:gridCol w:w="4590"/>
      </w:tblGrid>
      <w:tr>
        <w:trPr>
          <w:tblHeader/>
        </w:trPr>
        <w:tc>
          <w:tcPr>
            <w:tcW w:w="4300"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pPr>
              <w:spacing w:before="0" w:after="0"/>
            </w:pPr>
            <w:r>
              <w:rPr>
                <w:sz w:val="18"/>
                <w:b/>
                <w:color w:val="FFFFFF"/>
              </w:rPr>
              <w:t xml:space="preserve">Check</w:t>
            </w:r>
          </w:p>
        </w:tc>
        <w:tc>
          <w:tcPr>
            <w:tcW w:w="1100"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pPr>
              <w:spacing w:before="0" w:after="0"/>
            </w:pPr>
            <w:r>
              <w:rPr>
                <w:sz w:val="18"/>
                <w:b/>
                <w:color w:val="FFFFFF"/>
              </w:rPr>
              <w:t xml:space="preserve">Result</w:t>
            </w:r>
          </w:p>
        </w:tc>
        <w:tc>
          <w:tcPr>
            <w:tcW w:w="4590"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pPr>
              <w:spacing w:before="0" w:after="0"/>
            </w:pPr>
            <w:r>
              <w:rPr>
                <w:sz w:val="18"/>
                <w:b/>
                <w:color w:val="FFFFFF"/>
              </w:rPr>
              <w:t xml:space="preserve">Note</w:t>
            </w:r>
          </w:p>
        </w:tc>
      </w:tr>
      <w:tr>
        <w:trPr>
          <w:cantSplit/>
        </w:trPr>
        <w:tc>
          <w:tcPr>
            <w:tcW w:w="43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SHA-256 and size of report.json, findings.sarif and ledger.json match manifest.json</w:t>
            </w:r>
          </w:p>
        </w:tc>
        <w:tc>
          <w:tcPr>
            <w:tcW w:w="11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Pass</w:t>
            </w:r>
          </w:p>
        </w:tc>
        <w:tc>
          <w:tcPr>
            <w:tcW w:w="45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All three files.</w:t>
            </w:r>
          </w:p>
        </w:tc>
      </w:tr>
      <w:tr>
        <w:trPr>
          <w:cantSplit/>
        </w:trPr>
        <w:tc>
          <w:tcPr>
            <w:tcW w:w="43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Ed25519 signature.ed25519 verifies over manifest.json with public_key.pem</w:t>
            </w:r>
          </w:p>
        </w:tc>
        <w:tc>
          <w:tcPr>
            <w:tcW w:w="11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Pass</w:t>
            </w:r>
          </w:p>
        </w:tc>
        <w:tc>
          <w:tcPr>
            <w:tcW w:w="45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Verified over the raw manifest bytes.</w:t>
            </w:r>
          </w:p>
        </w:tc>
      </w:tr>
      <w:tr>
        <w:trPr>
          <w:cantSplit/>
        </w:trPr>
        <w:tc>
          <w:tcPr>
            <w:tcW w:w="43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Public-key fingerprint equals signingKeyId in the manifest</w:t>
            </w:r>
          </w:p>
        </w:tc>
        <w:tc>
          <w:tcPr>
            <w:tcW w:w="11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Pass</w:t>
            </w:r>
          </w:p>
        </w:tc>
        <w:tc>
          <w:tcPr>
            <w:tcW w:w="45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3510263a40f30799409530f9.</w:t>
            </w:r>
          </w:p>
        </w:tc>
      </w:tr>
      <w:tr>
        <w:trPr>
          <w:cantSplit/>
        </w:trPr>
        <w:tc>
          <w:tcPr>
            <w:tcW w:w="43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Ledger chain: 2 entries, each previous hash matches, chainHead equals the last entry</w:t>
            </w:r>
          </w:p>
        </w:tc>
        <w:tc>
          <w:tcPr>
            <w:tcW w:w="11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Pass</w:t>
            </w:r>
          </w:p>
        </w:tc>
        <w:tc>
          <w:tcPr>
            <w:tcW w:w="45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Sequence 1 is an earlier report; sequence 2 is this one.</w:t>
            </w:r>
          </w:p>
        </w:tc>
      </w:tr>
      <w:tr>
        <w:trPr>
          <w:cantSplit/>
        </w:trPr>
        <w:tc>
          <w:tcPr>
            <w:tcW w:w="43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Last ledger entry's reportSha256 equals SHA-256 of report.json; manifest reportId equals the report id</w:t>
            </w:r>
          </w:p>
        </w:tc>
        <w:tc>
          <w:tcPr>
            <w:tcW w:w="11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Pass</w:t>
            </w:r>
          </w:p>
        </w:tc>
        <w:tc>
          <w:tcPr>
            <w:tcW w:w="45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e63a697aa8d34619b6025b7edc7697c2.</w:t>
            </w:r>
          </w:p>
        </w:tc>
      </w:tr>
      <w:tr>
        <w:trPr>
          <w:cantSplit/>
        </w:trPr>
        <w:tc>
          <w:tcPr>
            <w:tcW w:w="43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Ledger entry signatures verify over the canonical entry body</w:t>
            </w:r>
          </w:p>
        </w:tc>
        <w:tc>
          <w:tcPr>
            <w:tcW w:w="11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Pass</w:t>
            </w:r>
          </w:p>
        </w:tc>
        <w:tc>
          <w:tcPr>
            <w:tcW w:w="45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Both entries.</w:t>
            </w:r>
          </w:p>
        </w:tc>
      </w:tr>
      <w:tr>
        <w:trPr>
          <w:cantSplit/>
        </w:trPr>
        <w:tc>
          <w:tcPr>
            <w:tcW w:w="43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entryHash recomputed independently</w:t>
            </w:r>
          </w:p>
        </w:tc>
        <w:tc>
          <w:tcPr>
            <w:tcW w:w="11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Not reproduced</w:t>
            </w:r>
          </w:p>
        </w:tc>
        <w:tc>
          <w:tcPr>
            <w:tcW w:w="45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A simple recomputation (SHA-256 of the canonical entry body, with or without the previous hash or signature) did not reproduce the stored entryHash. The link chain and signatures verify, but the hash derivation should be documented so third parties can repeat it.</w:t>
            </w:r>
          </w:p>
        </w:tc>
      </w:tr>
      <w:tr>
        <w:trPr>
          <w:cantSplit/>
        </w:trPr>
        <w:tc>
          <w:tcPr>
            <w:tcW w:w="43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Trust limits</w:t>
            </w:r>
          </w:p>
        </w:tc>
        <w:tc>
          <w:tcPr>
            <w:tcW w:w="11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Info</w:t>
            </w:r>
          </w:p>
        </w:tc>
        <w:tc>
          <w:tcPr>
            <w:tcW w:w="45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Self-signed local key, no timestamp authority and no compliance mapping, as the manifest's trustNotice and the documentation state. Verify the key fingerprint through a separate channel.</w:t>
            </w:r>
          </w:p>
        </w:tc>
      </w:tr>
    </w:tbl>
    <w:p>
      <w:pPr>
        <w:spacing w:after="20"/>
      </w:pPr>
    </w:p>
    <w:p>
      <w:pPr>
        <w:pStyle w:val="Heading2"/>
      </w:pPr>
      <w:r>
        <w:rPr>
          <w:rFonts w:ascii="Aptos" w:hAnsi="Aptos"/>
          <w:b w:val="0"/>
          <w:color w:val="222222"/>
          <w:sz w:val="21"/>
        </w:rPr>
        <w:t xml:space="preserve">Gaps found in the generated files</w:t>
      </w:r>
    </w:p>
    <w:tbl>
      <w:tblPr>
        <w:tblStyle w:val="TableGrid"/>
        <w:tblW w:w="9990" w:type="dxa"/>
        <w:jc w:val="center"/>
        <w:tblLayout w:type="fixed"/>
        <w:tblLook w:val="04A0" w:firstRow="1" w:lastRow="0" w:firstColumn="1" w:lastColumn="0" w:noHBand="0" w:noVBand="1"/>
      </w:tblPr>
      <w:tblGrid>
        <w:gridCol w:w="400"/>
        <w:gridCol w:w="3200"/>
        <w:gridCol w:w="2100"/>
        <w:gridCol w:w="3290"/>
        <w:gridCol w:w="1000"/>
      </w:tblGrid>
      <w:tr>
        <w:trPr>
          <w:tblHeader/>
        </w:trPr>
        <w:tc>
          <w:tcPr>
            <w:tcW w:w="400"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pPr>
              <w:spacing w:before="0" w:after="0"/>
            </w:pPr>
            <w:r>
              <w:rPr>
                <w:sz w:val="17"/>
                <w:b/>
                <w:color w:val="FFFFFF"/>
              </w:rPr>
              <w:t xml:space="preserve">#</w:t>
            </w:r>
          </w:p>
        </w:tc>
        <w:tc>
          <w:tcPr>
            <w:tcW w:w="3200"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pPr>
              <w:spacing w:before="0" w:after="0"/>
            </w:pPr>
            <w:r>
              <w:rPr>
                <w:sz w:val="17"/>
                <w:b/>
                <w:color w:val="FFFFFF"/>
              </w:rPr>
              <w:t xml:space="preserve">Gap</w:t>
            </w:r>
          </w:p>
        </w:tc>
        <w:tc>
          <w:tcPr>
            <w:tcW w:w="2100"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pPr>
              <w:spacing w:before="0" w:after="0"/>
            </w:pPr>
            <w:r>
              <w:rPr>
                <w:sz w:val="17"/>
                <w:b/>
                <w:color w:val="FFFFFF"/>
              </w:rPr>
              <w:t xml:space="preserve">Evidence</w:t>
            </w:r>
          </w:p>
        </w:tc>
        <w:tc>
          <w:tcPr>
            <w:tcW w:w="3290"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pPr>
              <w:spacing w:before="0" w:after="0"/>
            </w:pPr>
            <w:r>
              <w:rPr>
                <w:sz w:val="17"/>
                <w:b/>
                <w:color w:val="FFFFFF"/>
              </w:rPr>
              <w:t xml:space="preserve">Suggested fix</w:t>
            </w:r>
          </w:p>
        </w:tc>
        <w:tc>
          <w:tcPr>
            <w:tcW w:w="1000"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pPr>
              <w:spacing w:before="0" w:after="0"/>
            </w:pPr>
            <w:r>
              <w:rPr>
                <w:sz w:val="17"/>
                <w:b/>
                <w:color w:val="FFFFFF"/>
              </w:rPr>
              <w:t xml:space="preserve">Priority</w:t>
            </w:r>
          </w:p>
        </w:tc>
      </w:tr>
      <w:tr>
        <w:trPr>
          <w:cantSplit/>
        </w:trPr>
        <w:tc>
          <w:tcPr>
            <w:tcW w:w="4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1</w:t>
            </w:r>
          </w:p>
        </w:tc>
        <w:tc>
          <w:tcPr>
            <w:tcW w:w="32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Findings carry no real code evidence: every snippet is the rule description and every line number is 1.</w:t>
            </w:r>
          </w:p>
        </w:tc>
        <w:tc>
          <w:tcPr>
            <w:tcW w:w="21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28 findings, 3 distinct snippets, all at line 1.</w:t>
            </w:r>
          </w:p>
        </w:tc>
        <w:tc>
          <w:tcPr>
            <w:tcW w:w="32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Capture the redacted matching line and its true line number; never store secret values.</w:t>
            </w:r>
          </w:p>
        </w:tc>
        <w:tc>
          <w:tcPr>
            <w:tcW w:w="10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High</w:t>
            </w:r>
          </w:p>
        </w:tc>
      </w:tr>
      <w:tr>
        <w:trPr>
          <w:cantSplit/>
        </w:trPr>
        <w:tc>
          <w:tcPr>
            <w:tcW w:w="4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2</w:t>
            </w:r>
          </w:p>
        </w:tc>
        <w:tc>
          <w:tcPr>
            <w:tcW w:w="32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The built-in review found 0 findings while the automation module raised 28 on the same 26 files.</w:t>
            </w:r>
          </w:p>
        </w:tc>
        <w:tc>
          <w:tcPr>
            <w:tcW w:w="21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report.json checks and findings.</w:t>
            </w:r>
          </w:p>
        </w:tc>
        <w:tc>
          <w:tcPr>
            <w:tcW w:w="32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Run the Batch Review rule engine inside the full audit so scripts get the same rules.</w:t>
            </w:r>
          </w:p>
        </w:tc>
        <w:tc>
          <w:tcPr>
            <w:tcW w:w="10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High</w:t>
            </w:r>
          </w:p>
        </w:tc>
      </w:tr>
      <w:tr>
        <w:trPr>
          <w:cantSplit/>
        </w:trPr>
        <w:tc>
          <w:tcPr>
            <w:tcW w:w="4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3</w:t>
            </w:r>
          </w:p>
        </w:tc>
        <w:tc>
          <w:tcPr>
            <w:tcW w:w="32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Documentation files are flagged as automation with network behaviour (LICENSE, README.md, _ReadMe.html, _ReadMe.txt).</w:t>
            </w:r>
          </w:p>
        </w:tc>
        <w:tc>
          <w:tcPr>
            <w:tcW w:w="21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4 of the 14 network findings.</w:t>
            </w:r>
          </w:p>
        </w:tc>
        <w:tc>
          <w:tcPr>
            <w:tcW w:w="32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Skip or downgrade non-executable documents to informational.</w:t>
            </w:r>
          </w:p>
        </w:tc>
        <w:tc>
          <w:tcPr>
            <w:tcW w:w="10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Medium</w:t>
            </w:r>
          </w:p>
        </w:tc>
      </w:tr>
      <w:tr>
        <w:trPr>
          <w:cantSplit/>
        </w:trPr>
        <w:tc>
          <w:tcPr>
            <w:tcW w:w="4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4</w:t>
            </w:r>
          </w:p>
        </w:tc>
        <w:tc>
          <w:tcPr>
            <w:tcW w:w="32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Model output could not be parsed (JSONDecodeError), so model review was lost.</w:t>
            </w:r>
          </w:p>
        </w:tc>
        <w:tc>
          <w:tcPr>
            <w:tcW w:w="21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Check status incomplete.</w:t>
            </w:r>
          </w:p>
        </w:tc>
        <w:tc>
          <w:tcPr>
            <w:tcW w:w="32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Use Ollama structured output with a JSON schema and one repair retry; keep the raw reply in the log.</w:t>
            </w:r>
          </w:p>
        </w:tc>
        <w:tc>
          <w:tcPr>
            <w:tcW w:w="10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Medium</w:t>
            </w:r>
          </w:p>
        </w:tc>
      </w:tr>
      <w:tr>
        <w:trPr>
          <w:cantSplit/>
        </w:trPr>
        <w:tc>
          <w:tcPr>
            <w:tcW w:w="4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5</w:t>
            </w:r>
          </w:p>
        </w:tc>
        <w:tc>
          <w:tcPr>
            <w:tcW w:w="32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SARIF names the tool Strix (informationUri strix.ai) although findings come from SecAudit enterprise checks and the documentation says the wrapper is not the Strix engine.</w:t>
            </w:r>
          </w:p>
        </w:tc>
        <w:tc>
          <w:tcPr>
            <w:tcW w:w="21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findings.sarif tool.driver.</w:t>
            </w:r>
          </w:p>
        </w:tc>
        <w:tc>
          <w:tcPr>
            <w:tcW w:w="32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Report the tool as SecAudit with its version; name Strix only when its engine ran.</w:t>
            </w:r>
          </w:p>
        </w:tc>
        <w:tc>
          <w:tcPr>
            <w:tcW w:w="10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Medium</w:t>
            </w:r>
          </w:p>
        </w:tc>
      </w:tr>
      <w:tr>
        <w:trPr>
          <w:cantSplit/>
        </w:trPr>
        <w:tc>
          <w:tcPr>
            <w:tcW w:w="4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6</w:t>
            </w:r>
          </w:p>
        </w:tc>
        <w:tc>
          <w:tcPr>
            <w:tcW w:w="32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Skipped files are unexplained: 8 skipped, 2 reasons listed.</w:t>
            </w:r>
          </w:p>
        </w:tc>
        <w:tc>
          <w:tcPr>
            <w:tcW w:w="21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report.json skipped_reasons.</w:t>
            </w:r>
          </w:p>
        </w:tc>
        <w:tc>
          <w:tcPr>
            <w:tcW w:w="32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Give every skipped file a reason.</w:t>
            </w:r>
          </w:p>
        </w:tc>
        <w:tc>
          <w:tcPr>
            <w:tcW w:w="10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Medium</w:t>
            </w:r>
          </w:p>
        </w:tc>
      </w:tr>
      <w:tr>
        <w:trPr>
          <w:cantSplit/>
        </w:trPr>
        <w:tc>
          <w:tcPr>
            <w:tcW w:w="4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7</w:t>
            </w:r>
          </w:p>
        </w:tc>
        <w:tc>
          <w:tcPr>
            <w:tcW w:w="32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Path redaction breaks on spaces: paths read "[PATH] 365/…". No user name or C:\Users path was found in either file.</w:t>
            </w:r>
          </w:p>
        </w:tc>
        <w:tc>
          <w:tcPr>
            <w:tcW w:w="21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report.json and findings.sarif.</w:t>
            </w:r>
          </w:p>
        </w:tc>
        <w:tc>
          <w:tcPr>
            <w:tcW w:w="32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Redact the full path prefix including spaces.</w:t>
            </w:r>
          </w:p>
        </w:tc>
        <w:tc>
          <w:tcPr>
            <w:tcW w:w="10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Low</w:t>
            </w:r>
          </w:p>
        </w:tc>
      </w:tr>
      <w:tr>
        <w:trPr>
          <w:cantSplit/>
        </w:trPr>
        <w:tc>
          <w:tcPr>
            <w:tcW w:w="4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8</w:t>
            </w:r>
          </w:p>
        </w:tc>
        <w:tc>
          <w:tcPr>
            <w:tcW w:w="32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ClamAV freshness is unclear: the report shows a database build of 11 Sep 2025 and an age of 94 h; the Run Monitor later shows the same build date as "3 d old".</w:t>
            </w:r>
          </w:p>
        </w:tc>
        <w:tc>
          <w:tcPr>
            <w:tcW w:w="21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report.json; Run Monitor screenshot.</w:t>
            </w:r>
          </w:p>
        </w:tc>
        <w:tc>
          <w:tcPr>
            <w:tcW w:w="32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Confirm what the 72-hour rule measures. A build date over a year old suggests FreshClam may not be fetching the daily database.</w:t>
            </w:r>
          </w:p>
        </w:tc>
        <w:tc>
          <w:tcPr>
            <w:tcW w:w="10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Medium</w:t>
            </w:r>
          </w:p>
        </w:tc>
      </w:tr>
      <w:tr>
        <w:trPr>
          <w:cantSplit/>
        </w:trPr>
        <w:tc>
          <w:tcPr>
            <w:tcW w:w="4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9</w:t>
            </w:r>
          </w:p>
        </w:tc>
        <w:tc>
          <w:tcPr>
            <w:tcW w:w="32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No CWE or ATT&amp;CK mapping on any finding (by design, only validated behaviour gets a CWE).</w:t>
            </w:r>
          </w:p>
        </w:tc>
        <w:tc>
          <w:tcPr>
            <w:tcW w:w="21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28 findings with empty cwe.</w:t>
            </w:r>
          </w:p>
        </w:tc>
        <w:tc>
          <w:tcPr>
            <w:tcW w:w="32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Add ATT&amp;CK techniques where behaviour is validated, as Batch Review does.</w:t>
            </w:r>
          </w:p>
        </w:tc>
        <w:tc>
          <w:tcPr>
            <w:tcW w:w="10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7"/>
              </w:rPr>
              <w:t xml:space="preserve">Low</w:t>
            </w:r>
          </w:p>
        </w:tc>
      </w:tr>
    </w:tbl>
    <w:p>
      <w:pPr>
        <w:spacing w:after="20"/>
      </w:pPr>
    </w:p>
    <w:p>
      <w:pPr>
        <w:pStyle w:val="Heading2"/>
      </w:pPr>
      <w:r>
        <w:rPr>
          <w:rFonts w:ascii="Aptos" w:hAnsi="Aptos"/>
          <w:b w:val="0"/>
          <w:color w:val="222222"/>
          <w:sz w:val="21"/>
        </w:rPr>
        <w:t xml:space="preserve">What would raise the score</w:t>
      </w:r>
    </w:p>
    <w:tbl>
      <w:tblPr>
        <w:tblStyle w:val="TableGrid"/>
        <w:tblW w:w="9990" w:type="dxa"/>
        <w:jc w:val="center"/>
        <w:tblLayout w:type="fixed"/>
        <w:tblLook w:val="04A0" w:firstRow="1" w:lastRow="0" w:firstColumn="1" w:lastColumn="0" w:noHBand="0" w:noVBand="1"/>
      </w:tblPr>
      <w:tblGrid>
        <w:gridCol w:w="5600"/>
        <w:gridCol w:w="3000"/>
        <w:gridCol w:w="1390"/>
      </w:tblGrid>
      <w:tr>
        <w:trPr>
          <w:tblHeader/>
        </w:trPr>
        <w:tc>
          <w:tcPr>
            <w:tcW w:w="5600"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pPr>
              <w:spacing w:before="0" w:after="0"/>
            </w:pPr>
            <w:r>
              <w:rPr>
                <w:sz w:val="18"/>
                <w:b/>
                <w:color w:val="FFFFFF"/>
              </w:rPr>
              <w:t xml:space="preserve">Improvement</w:t>
            </w:r>
          </w:p>
        </w:tc>
        <w:tc>
          <w:tcPr>
            <w:tcW w:w="3000"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pPr>
              <w:spacing w:before="0" w:after="0"/>
            </w:pPr>
            <w:r>
              <w:rPr>
                <w:sz w:val="18"/>
                <w:b/>
                <w:color w:val="FFFFFF"/>
              </w:rPr>
              <w:t xml:space="preserve">Criterion affected</w:t>
            </w:r>
          </w:p>
        </w:tc>
        <w:tc>
          <w:tcPr>
            <w:tcW w:w="1390"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pPr>
              <w:spacing w:before="0" w:after="0"/>
            </w:pPr>
            <w:r>
              <w:rPr>
                <w:sz w:val="18"/>
                <w:b/>
                <w:color w:val="FFFFFF"/>
              </w:rPr>
              <w:t xml:space="preserve">Indicative points</w:t>
            </w:r>
          </w:p>
        </w:tc>
      </w:tr>
      <w:tr>
        <w:trPr>
          <w:cantSplit/>
        </w:trPr>
        <w:tc>
          <w:tcPr>
            <w:tcW w:w="56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Real snippets and line numbers, plus the Batch Review rules inside the full audit (gaps 1 to 3)</w:t>
            </w:r>
          </w:p>
        </w:tc>
        <w:tc>
          <w:tcPr>
            <w:tcW w:w="30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Script and source analysis 3 → 4</w:t>
            </w:r>
          </w:p>
        </w:tc>
        <w:tc>
          <w:tcPr>
            <w:tcW w:w="13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+3</w:t>
            </w:r>
          </w:p>
        </w:tc>
      </w:tr>
      <w:tr>
        <w:trPr>
          <w:cantSplit/>
        </w:trPr>
        <w:tc>
          <w:tcPr>
            <w:tcW w:w="56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ClamAV signatures auto-updated and verified when online (gap 8)</w:t>
            </w:r>
          </w:p>
        </w:tc>
        <w:tc>
          <w:tcPr>
            <w:tcW w:w="30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Known-malware detection 1 → 2</w:t>
            </w:r>
          </w:p>
        </w:tc>
        <w:tc>
          <w:tcPr>
            <w:tcW w:w="13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+4</w:t>
            </w:r>
          </w:p>
        </w:tc>
      </w:tr>
      <w:tr>
        <w:trPr>
          <w:cantSplit/>
        </w:trPr>
        <w:tc>
          <w:tcPr>
            <w:tcW w:w="56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Windows Sandbox behaviour check for selected scripts (planned; the test machine runs Windows 11 Pro, which supports it)</w:t>
            </w:r>
          </w:p>
        </w:tc>
        <w:tc>
          <w:tcPr>
            <w:tcW w:w="30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Behaviour detection 1 → 2</w:t>
            </w:r>
          </w:p>
        </w:tc>
        <w:tc>
          <w:tcPr>
            <w:tcW w:w="13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+3</w:t>
            </w:r>
          </w:p>
        </w:tc>
      </w:tr>
      <w:tr>
        <w:trPr>
          <w:cantSplit/>
        </w:trPr>
        <w:tc>
          <w:tcPr>
            <w:tcW w:w="56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Skipped-file reasons and correct SARIF tool name (gaps 5, 6)</w:t>
            </w:r>
          </w:p>
        </w:tc>
        <w:tc>
          <w:tcPr>
            <w:tcW w:w="30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Honesty 4 → 5 and evidence 4 → 5</w:t>
            </w:r>
          </w:p>
        </w:tc>
        <w:tc>
          <w:tcPr>
            <w:tcW w:w="13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+4</w:t>
            </w:r>
          </w:p>
        </w:tc>
      </w:tr>
    </w:tbl>
    <w:p>
      <w:pPr>
        <w:spacing w:after="20"/>
      </w:pPr>
    </w:p>
    <w:p>
      <w:r>
        <w:t xml:space="preserve">If all four land, the weighted total would move from about 45 to about 59 (indicative), above McAfee's 54 and still below Defender's 73, which is the expected shape for a review tool next to an endpoint product.</w:t>
      </w:r>
    </w:p>
    <w:p>
      <w:pPr>
        <w:pStyle w:val="Heading2"/>
      </w:pPr>
      <w:r>
        <w:rPr>
          <w:rFonts w:ascii="Aptos" w:hAnsi="Aptos"/>
          <w:b w:val="0"/>
          <w:color w:val="222222"/>
          <w:sz w:val="21"/>
        </w:rPr>
        <w:t xml:space="preserve">Conclusion</w:t>
      </w:r>
    </w:p>
    <w:p>
      <w:r>
        <w:t xml:space="preserve">In this run SecAudit behaved honestly: stale signatures and the failed model call were shown as unavailable or incomplete, scope stayed explicit, and the evidence pack verifies. What holds it back is the content of its findings, which lack real evidence and do not yet match the clarity of a commercial detection. The best positioning is as a complement: use Defender or McAfee to detect and remove, and SecAudit to scope, explain and document the decision.</w:t>
      </w:r>
    </w:p>
    <w:p w14:paraId="47F53519" w14:textId="77777777" w:rsidR="00ED7985" w:rsidRDefault="00000000">
      <w:pPr>
        <w:pStyle w:val="Heading1"/>
      </w:pPr>
      <w:r>
        <w:rPr>
          <w:rFonts w:ascii="Aptos" w:hAnsi="Aptos"/>
          <w:b w:val="0"/>
          <w:color w:val="222222"/>
          <w:sz w:val="21"/>
        </w:rPr>
        <w:t>Closing position</w:t>
      </w:r>
    </w:p>
    <w:p w14:paraId="2502DDBF" w14:textId="77777777" w:rsidR="00ED7985" w:rsidRDefault="00000000">
      <w:r>
        <w:t>SecAudit offers a practical middle layer between informal checking and heavyweight security operations. Its strongest use is helping authorised people make safer, better-documented decisions earlier: before a prototype reaches production, before a contractor receives access, before a workflow becomes business-critical and before a small issue becomes an expensive incident.</w:t>
      </w:r>
    </w:p>
    <w:p>
      <w:pPr>
        <w:pStyle w:val="Heading1"/>
        <w:pageBreakBefore/>
      </w:pPr>
      <w:r>
        <w:rPr>
          <w:rFonts w:ascii="Aptos" w:hAnsi="Aptos"/>
          <w:b w:val="0"/>
          <w:color w:val="222222"/>
          <w:sz w:val="21"/>
        </w:rPr>
        <w:t xml:space="preserve">Appendices: technical documentation as of 2026-10-29</w:t>
      </w:r>
    </w:p>
    <w:p>
      <w:r>
        <w:t xml:space="preserve">The following appendices reproduce the repository documentation for the current top-level SecAudit application. They describe what the current build does and its stated limits; the evaluation above describes how one run of it performed.</w:t>
      </w:r>
    </w:p>
    <w:p>
      <w:pPr>
        <w:pStyle w:val="Heading1"/>
        <w:pageBreakBefore/>
      </w:pPr>
      <w:r>
        <w:rPr>
          <w:rFonts w:ascii="Aptos" w:hAnsi="Aptos"/>
          <w:b w:val="0"/>
          <w:color w:val="222222"/>
          <w:sz w:val="21"/>
        </w:rPr>
        <w:t xml:space="preserve">Appendix A. Application functions</w:t>
      </w:r>
    </w:p>
    <w:p>
      <w:r>
        <w:rPr>
          <w:b/>
        </w:rPr>
        <w:t xml:space="preserve">Overview updated: 2026-10-29.</w:t>
      </w:r>
      <w:r>
        <w:t xml:space="preserve"> This page reflects the current top-level desktop application; it does not describe the separate upstream Strix runtime.</w:t>
      </w:r>
    </w:p>
    <w:p>
      <w:r>
        <w:t xml:space="preserve">This guide describes the current top-level SecAudit desktop application. Folder audits and Dev Toolkit Batch Review are bounded, read-only static analysis; supplied files are not executed. Optional scanners run only in the full audit flow and report their actual status. Batch Review does not invoke Semgrep or ClamAV and labels both </w:t>
      </w:r>
      <w:r>
        <w:rPr>
          <w:rFonts w:ascii="Consolas" w:hAnsi="Consolas" w:cs="Consolas"/>
        </w:rPr>
        <w:t xml:space="preserve">NOT RUN</w:t>
      </w:r>
      <w:r>
        <w:t xml:space="preserve">.</w:t>
      </w:r>
    </w:p>
    <w:p>
      <w:r>
        <w:t xml:space="preserve">The app does not execute supplied code or expand the selected scope. Offline mode blocks app-initiated Cloud, public-search, non-loopback model, remote Semgrep rule-pack, and model/signature download requests. It is not an operating-system firewall or proof that no network traffic left the machine.</w:t>
      </w:r>
    </w:p>
    <w:p>
      <w:pPr>
        <w:pStyle w:val="Heading2"/>
      </w:pPr>
      <w:r>
        <w:rPr>
          <w:rFonts w:ascii="Aptos" w:hAnsi="Aptos"/>
          <w:b w:val="0"/>
          <w:color w:val="222222"/>
          <w:sz w:val="21"/>
        </w:rPr>
        <w:t xml:space="preserve">Purpose</w:t>
      </w:r>
    </w:p>
    <w:p>
      <w:r>
        <w:t xml:space="preserve">SecAudit is a native desktop workspace for reviewing selected files and folders for security-relevant code patterns, static-analysis findings, and (when available) known malware signatures. It collects findings and check-coverage information into reports, and can use a selected AI provider to explain bounded evidence.</w:t>
      </w:r>
    </w:p>
    <w:p>
      <w:r>
        <w:t xml:space="preserve">Scans are read-only: the app does not execute or modify the selected files. A local scan is not a penetration test and cannot prove that a file or project is safe.</w:t>
      </w:r>
    </w:p>
    <w:p>
      <w:pPr>
        <w:pStyle w:val="Heading2"/>
      </w:pPr>
      <w:r>
        <w:rPr>
          <w:rFonts w:ascii="Aptos" w:hAnsi="Aptos"/>
          <w:b w:val="0"/>
          <w:color w:val="222222"/>
          <w:sz w:val="21"/>
        </w:rPr>
        <w:t xml:space="preserve">Main application screens</w:t>
      </w:r>
    </w:p>
    <w:tbl>
      <w:tblPr>
        <w:tblStyle w:val="TableGrid"/>
        <w:tblW w:w="9989" w:type="dxa"/>
        <w:jc w:val="center"/>
        <w:tblLayout w:type="fixed"/>
        <w:tblLook w:val="04A0" w:firstRow="1" w:lastRow="0" w:firstColumn="1" w:lastColumn="0" w:noHBand="0" w:noVBand="1"/>
      </w:tblPr>
      <w:tblGrid>
        <w:gridCol w:w="3058"/>
        <w:gridCol w:w="6931"/>
      </w:tblGrid>
      <w:tr>
        <w:trPr>
          <w:tblHeader/>
        </w:trPr>
        <w:tc>
          <w:tcPr>
            <w:tcW w:w="3058"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pPr>
              <w:spacing w:before="0" w:after="0"/>
            </w:pPr>
            <w:r>
              <w:rPr>
                <w:sz w:val="18"/>
                <w:b/>
                <w:color w:val="FFFFFF"/>
              </w:rPr>
              <w:t xml:space="preserve">Screen</w:t>
            </w:r>
          </w:p>
        </w:tc>
        <w:tc>
          <w:tcPr>
            <w:tcW w:w="6931"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pPr>
              <w:spacing w:before="0" w:after="0"/>
            </w:pPr>
            <w:r>
              <w:rPr>
                <w:sz w:val="18"/>
                <w:b/>
                <w:color w:val="FFFFFF"/>
              </w:rPr>
              <w:t xml:space="preserve">What it does</w:t>
            </w:r>
          </w:p>
        </w:tc>
      </w:tr>
      <w:tr>
        <w:trPr>
          <w:cantSplit/>
        </w:trPr>
        <w:tc>
          <w:tcPr>
            <w:tcW w:w="305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b/>
              </w:rPr>
              <w:t xml:space="preserve">New Audit</w:t>
            </w:r>
          </w:p>
        </w:tc>
        <w:tc>
          <w:tcPr>
            <w:tcW w:w="69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Lets you select up to 20 existing files or folders, remove or clear selected targets, enter a review objective, choose a review focus, review the scope, and start a read-only scan. The objective and focus guide model analysis; neither changes the selected paths or scanner tools.</w:t>
            </w:r>
          </w:p>
        </w:tc>
      </w:tr>
      <w:tr>
        <w:trPr>
          <w:cantSplit/>
        </w:trPr>
        <w:tc>
          <w:tcPr>
            <w:tcW w:w="305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b/>
              </w:rPr>
              <w:t xml:space="preserve">Dev → Batch Review</w:t>
            </w:r>
          </w:p>
        </w:tc>
        <w:tc>
          <w:tcPr>
            <w:tcW w:w="69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Analyzes selected files/folders with bounded local rules, argument-aware command context, correlated same-behavior detections, redacted line-numbered evidence, and per-file rule/scanner coverage. Semgrep and ClamAV are </w:t>
            </w:r>
            <w:r>
              <w:rPr>
                <w:sz w:val="18"/>
                <w:rFonts w:ascii="Consolas" w:hAnsi="Consolas" w:cs="Consolas"/>
              </w:rPr>
              <w:t xml:space="preserve">NOT RUN</w:t>
            </w:r>
            <w:r>
              <w:rPr>
                <w:sz w:val="18"/>
              </w:rPr>
              <w:t xml:space="preserve"> in this workflow.</w:t>
            </w:r>
          </w:p>
        </w:tc>
      </w:tr>
      <w:tr>
        <w:trPr>
          <w:cantSplit/>
        </w:trPr>
        <w:tc>
          <w:tcPr>
            <w:tcW w:w="305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b/>
              </w:rPr>
              <w:t xml:space="preserve">File review</w:t>
            </w:r>
          </w:p>
        </w:tc>
        <w:tc>
          <w:tcPr>
            <w:tcW w:w="69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Inspects one regular file without running it. Shows its size, a SHA-256 digest when it is within the 256 MiB limit, common file-type hints, and offline Windows Authenticode status for supported Windows formats. You can add the inspected file to the New Audit scope for additional checks. A valid publisher signature is not a safety verdict.</w:t>
            </w:r>
          </w:p>
        </w:tc>
      </w:tr>
      <w:tr>
        <w:trPr>
          <w:cantSplit/>
        </w:trPr>
        <w:tc>
          <w:tcPr>
            <w:tcW w:w="305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b/>
              </w:rPr>
              <w:t xml:space="preserve">Network</w:t>
            </w:r>
          </w:p>
        </w:tc>
        <w:tc>
          <w:tcPr>
            <w:tcW w:w="69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Displays active local interface addresses, available gateway/Wi-Fi details, OS-reported link speed, and upload/download rates measured from interface byte counters. Optional, confirmed diagnostics test loopback, the default gateway when available, public-IP reachability, and DNS lookup. App-level offline mode limits diagnostics to loopback. It does not change network configuration or run a speed test.</w:t>
            </w:r>
          </w:p>
        </w:tc>
      </w:tr>
      <w:tr>
        <w:trPr>
          <w:cantSplit/>
        </w:trPr>
        <w:tc>
          <w:tcPr>
            <w:tcW w:w="305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b/>
              </w:rPr>
              <w:t xml:space="preserve">Run Monitor</w:t>
            </w:r>
          </w:p>
        </w:tc>
        <w:tc>
          <w:tcPr>
            <w:tcW w:w="69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Shows the current audit stage, elapsed time, selected targets, file coverage, findings, and completed checks. Semgrep and ClamAV status chips show persisted background probe results. Missing tools, skipped files, limits, and failures are reported as coverage/status information rather than silently treated as clean results.</w:t>
            </w:r>
          </w:p>
        </w:tc>
      </w:tr>
      <w:tr>
        <w:trPr>
          <w:cantSplit/>
        </w:trPr>
        <w:tc>
          <w:tcPr>
            <w:tcW w:w="305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b/>
              </w:rPr>
              <w:t xml:space="preserve">Reports</w:t>
            </w:r>
          </w:p>
        </w:tc>
        <w:tc>
          <w:tcPr>
            <w:tcW w:w="69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Presents findings, check coverage, and audit details. The report identifies which checks ran and which were skipped or incomplete, including bounded supplier-intake and automation indicators performed in the scan worker. It can export SARIF, create and verify a signed/hash-chained evidence pack from the redacted saved report, save a separately annotated Markdown report copy, and—after separate confirmation—quarantine a ClamAV-detected file or restore a quarantined file. A separate Network tab shows the live network snapshot and confirmed diagnostic results; that snapshot is not added to exported audit copies.</w:t>
            </w:r>
          </w:p>
        </w:tc>
      </w:tr>
      <w:tr>
        <w:trPr>
          <w:cantSplit/>
        </w:trPr>
        <w:tc>
          <w:tcPr>
            <w:tcW w:w="305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b/>
              </w:rPr>
              <w:t xml:space="preserve">Assistant</w:t>
            </w:r>
          </w:p>
        </w:tc>
        <w:tc>
          <w:tcPr>
            <w:tcW w:w="69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Provides local or cloud chat for security questions, findings, or remediation planning. You can manage chat history, optionally attach a saved or imported report, and allow public web search for a request. The details panel shows provider/model routing, sources, and assumptions for the latest answer.</w:t>
            </w:r>
          </w:p>
        </w:tc>
      </w:tr>
      <w:tr>
        <w:trPr>
          <w:cantSplit/>
        </w:trPr>
        <w:tc>
          <w:tcPr>
            <w:tcW w:w="305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b/>
              </w:rPr>
              <w:t xml:space="preserve">Skills</w:t>
            </w:r>
          </w:p>
        </w:tc>
        <w:tc>
          <w:tcPr>
            <w:tcW w:w="69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Offers built-in static source/trust-boundary, dependency-evidence, counterevidence, and fix-review profiles, and lets you create, edit, or delete up to 30 locally saved review workflows. Guidance is model-only: it does not add scanner rules, execute tools, or broaden scan scope.</w:t>
            </w:r>
          </w:p>
        </w:tc>
      </w:tr>
      <w:tr>
        <w:trPr>
          <w:cantSplit/>
        </w:trPr>
        <w:tc>
          <w:tcPr>
            <w:tcW w:w="305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b/>
              </w:rPr>
              <w:t xml:space="preserve">Settings</w:t>
            </w:r>
          </w:p>
        </w:tc>
        <w:tc>
          <w:tcPr>
            <w:tcW w:w="69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Selects the exclusive Local/Ollama or Cloud/OpenRouter provider, configures models and host, manages local models, tunes a local model profile, runs on-demand Semgrep/ClamAV warm-up probes, updates app-managed ClamAV signatures, and enables app-level offline mode. It can keep the loopback-only ClamAV daemon warm for the current session; the default is on at 8 GB RAM or above, off below, and the optional daemon uses about 1–1.5 GB. Cloud requests do not probe or fall back to local models.</w:t>
            </w:r>
          </w:p>
        </w:tc>
      </w:tr>
      <w:tr>
        <w:trPr>
          <w:cantSplit/>
        </w:trPr>
        <w:tc>
          <w:tcPr>
            <w:tcW w:w="305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b/>
              </w:rPr>
              <w:t xml:space="preserve">About</w:t>
            </w:r>
          </w:p>
        </w:tc>
        <w:tc>
          <w:tcPr>
            <w:tcW w:w="69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Shows provider and local model-routing information and links to the project's runtime/integration acknowledgments. It clarifies that SecAudit does not invoke the upstream autonomous Strix engine for folder scans.</w:t>
            </w:r>
          </w:p>
        </w:tc>
      </w:tr>
    </w:tbl>
    <w:p>
      <w:pPr>
        <w:spacing w:after="20"/>
      </w:pPr>
    </w:p>
    <w:p>
      <w:pPr>
        <w:pStyle w:val="Heading2"/>
      </w:pPr>
      <w:r>
        <w:rPr>
          <w:rFonts w:ascii="Aptos" w:hAnsi="Aptos"/>
          <w:b w:val="0"/>
          <w:color w:val="222222"/>
          <w:sz w:val="21"/>
        </w:rPr>
        <w:t xml:space="preserve">What an audit checks</w:t>
      </w:r>
    </w:p>
    <w:p>
      <w:r>
        <w:t xml:space="preserve">For the exact files/folders the user selected and confirmed, the wrapper may run:</w:t>
      </w:r>
    </w:p>
    <w:p>
      <w:pPr>
        <w:spacing w:after="60"/>
        <w:ind w:left="360" w:hanging="360"/>
      </w:pPr>
      <w:r>
        <w:t xml:space="preserve">1. </w:t>
      </w:r>
      <w:r>
        <w:rPr>
          <w:b/>
        </w:rPr>
        <w:t xml:space="preserve">Local code-pattern checks</w:t>
      </w:r>
      <w:r>
        <w:t xml:space="preserve"> for common security risks in supported text and script files. These are heuristics; a match needs review and can be a false positive.</w:t>
      </w:r>
    </w:p>
    <w:p>
      <w:pPr>
        <w:spacing w:after="60"/>
        <w:ind w:left="360" w:hanging="360"/>
      </w:pPr>
      <w:r>
        <w:t xml:space="preserve">2. </w:t>
      </w:r>
      <w:r>
        <w:rPr>
          <w:b/>
        </w:rPr>
        <w:t xml:space="preserve">Semgrep</w:t>
      </w:r>
      <w:r>
        <w:t xml:space="preserve">, when installed and verified by both a version check and a bundled fixture scan. Online scans may resolve </w:t>
      </w:r>
      <w:r>
        <w:rPr>
          <w:rFonts w:ascii="Consolas" w:hAnsi="Consolas" w:cs="Consolas"/>
        </w:rPr>
        <w:t xml:space="preserve">p/r2c-security-audit</w:t>
      </w:r>
      <w:r>
        <w:t xml:space="preserve">; offline scans use bundled local rules only. Results include scanned/skipped paths, duration, rules-source, errors, and warm-up details.</w:t>
      </w:r>
    </w:p>
    <w:p>
      <w:pPr>
        <w:spacing w:after="60"/>
        <w:ind w:left="360" w:hanging="360"/>
      </w:pPr>
      <w:r>
        <w:t xml:space="preserve">3. </w:t>
      </w:r>
      <w:r>
        <w:rPr>
          <w:b/>
        </w:rPr>
        <w:t xml:space="preserve">ClamAV</w:t>
      </w:r>
      <w:r>
        <w:t xml:space="preserve">, when installed with sufficiently recent signatures, to look for known malware signatures. Missing or stale signatures make the check unavailable; that is not a clean result. A local custom-signature probe verifies the engine; current app-managed signatures are required for an audit. The optional daemon binds only to </w:t>
      </w:r>
      <w:r>
        <w:rPr>
          <w:rFonts w:ascii="Consolas" w:hAnsi="Consolas" w:cs="Consolas"/>
        </w:rPr>
        <w:t xml:space="preserve">127.0.0.1</w:t>
      </w:r>
      <w:r>
        <w:t xml:space="preserve">; one-shot fallback and its reason are reported. The report compares ClamAV's scanned-file count with the bounded intake count and marks missing summaries or count mismatches as partial/incomplete, never clean.</w:t>
      </w:r>
    </w:p>
    <w:p>
      <w:pPr>
        <w:spacing w:after="60"/>
        <w:ind w:left="360" w:hanging="360"/>
      </w:pPr>
      <w:r>
        <w:t xml:space="preserve">4. </w:t>
      </w:r>
      <w:r>
        <w:rPr>
          <w:b/>
        </w:rPr>
        <w:t xml:space="preserve">File signature evidence</w:t>
      </w:r>
      <w:r>
        <w:t xml:space="preserve"> where supported, including local Authenticode checks for Windows executable formats.</w:t>
      </w:r>
    </w:p>
    <w:p>
      <w:pPr>
        <w:spacing w:after="60"/>
        <w:ind w:left="360" w:hanging="360"/>
      </w:pPr>
      <w:r>
        <w:t xml:space="preserve">5. </w:t>
      </w:r>
      <w:r>
        <w:rPr>
          <w:b/>
        </w:rPr>
        <w:t xml:space="preserve">Optional model review</w:t>
      </w:r>
      <w:r>
        <w:t xml:space="preserve"> of bounded file excerpts and scanner findings. In Local mode, a first-pass Ollama model may send notable cases to a second configured model. In Cloud mode, bounded evidence is sent to OpenRouter only after the user confirms the disclosure.</w:t>
      </w:r>
    </w:p>
    <w:p>
      <w:r>
        <w:t xml:space="preserve">The app applies size, file-count, archive, and model-context limits. Unsupported or over-limit files and incomplete checks are reflected in report coverage. Model observations are advisory and do not erase scanner findings or establish that a finding is exploitable.</w:t>
      </w:r>
    </w:p>
    <w:p>
      <w:r>
        <w:t xml:space="preserve">Batch Review accepts at most 200 files, reads at most 4 MiB per file and 64 MiB total, and reads file contents in bounded 64 KiB chunks. It runs on a one-thread Qt worker pool; progress is coalesced, cancellation is checked between files, and a local recovery journal records the selected paths and completion state. Larger files are reported as skipped rather than partially described as clean.</w:t>
      </w:r>
    </w:p>
    <w:p>
      <w:r>
        <w:t xml:space="preserve">Closing the desktop window during active work requests cancellation, stops child processes, and gives workers a bounded shutdown window rather than waiting on a confirmation dialog. Windows child processes are held in a kill-on-close Job Object; hard termination is recovered through the local scan journal on the next launch.</w:t>
      </w:r>
    </w:p>
    <w:p>
      <w:pPr>
        <w:pStyle w:val="Heading2"/>
      </w:pPr>
      <w:r>
        <w:rPr>
          <w:rFonts w:ascii="Aptos" w:hAnsi="Aptos"/>
          <w:b w:val="0"/>
          <w:color w:val="222222"/>
          <w:sz w:val="21"/>
        </w:rPr>
        <w:t xml:space="preserve">Findings, reporting, and follow-up</w:t>
      </w:r>
    </w:p>
    <w:p>
      <w:pPr>
        <w:pStyle w:val="ListBullet"/>
        <w:spacing w:after="60"/>
      </w:pPr>
      <w:r>
        <w:t xml:space="preserve">Findings include available rule/source information, severity, location/evidence, description, and remediation guidance.</w:t>
      </w:r>
    </w:p>
    <w:p>
      <w:pPr>
        <w:pStyle w:val="ListBullet"/>
        <w:spacing w:after="60"/>
      </w:pPr>
      <w:r>
        <w:t xml:space="preserve">Batch Review findings use a stable schema for analyzer, rule/correlated rules, file/line range, category, plain-language behavior, redacted excerpt, parsed command arguments, detection certainty, threat certainty/reason, MITRE techniques, nullable behavior-validated CWE, severity, and status. Detection confidence does not imply malicious intent.</w:t>
      </w:r>
    </w:p>
    <w:p>
      <w:pPr>
        <w:pStyle w:val="ListBullet"/>
        <w:spacing w:after="60"/>
      </w:pPr>
      <w:r>
        <w:t xml:space="preserve">Batch Review severity and behavior use parsed arguments for supported command families. Scheduled-task queries are informational; high-impact task creation and security-control tampering are distinguished from simple command presence. Windows elevation primitives, registry changes, and persistence operations have separate rule IDs and rule-owned categories; compound </w:t>
      </w:r>
      <w:r>
        <w:rPr>
          <w:rFonts w:ascii="Consolas" w:hAnsi="Consolas" w:cs="Consolas"/>
        </w:rPr>
        <w:t xml:space="preserve">&amp;</w:t>
      </w:r>
      <w:r>
        <w:t xml:space="preserve">, </w:t>
      </w:r>
      <w:r>
        <w:rPr>
          <w:rFonts w:ascii="Consolas" w:hAnsi="Consolas" w:cs="Consolas"/>
        </w:rPr>
        <w:t xml:space="preserve">&amp;&amp;</w:t>
      </w:r>
      <w:r>
        <w:t xml:space="preserve">, and </w:t>
      </w:r>
      <w:r>
        <w:rPr>
          <w:rFonts w:ascii="Consolas" w:hAnsi="Consolas" w:cs="Consolas"/>
        </w:rPr>
        <w:t xml:space="preserve">||</w:t>
      </w:r>
      <w:r>
        <w:t xml:space="preserve"> statements are parsed independently, with batch-variable aliases resolved only from definitions available before the statement.</w:t>
      </w:r>
    </w:p>
    <w:p>
      <w:pPr>
        <w:pStyle w:val="ListBullet"/>
        <w:spacing w:after="60"/>
      </w:pPr>
      <w:r>
        <w:t xml:space="preserve">The Batch Review text view groups consecutive findings with the same behavior into a line-range block and reports its sub-match count. The structured result retains each per-line finding, including correlated rule IDs, for traceable export.</w:t>
      </w:r>
    </w:p>
    <w:p>
      <w:pPr>
        <w:pStyle w:val="ListBullet"/>
        <w:spacing w:after="60"/>
      </w:pPr>
      <w:r>
        <w:t xml:space="preserve">File-type coverage is rule-scoped: available rules cover common Windows and Unix scripts, Python, JavaScript/TypeScript, SQL, XML, JSON/YAML and text configuration. Unknown text extensions receive only applicable generic rules; binary, malformed, or over-limit inputs are reported as skipped or partially checked rather than represented as clean.</w:t>
      </w:r>
    </w:p>
    <w:p>
      <w:pPr>
        <w:pStyle w:val="ListBullet"/>
        <w:spacing w:after="60"/>
      </w:pPr>
      <w:r>
        <w:t xml:space="preserve">CWE identifiers are emitted only for validated behavior classes. A hardcoded IP address, scheduled task, download, or privilege operation does not receive an unrelated CWE identifier.</w:t>
      </w:r>
    </w:p>
    <w:p>
      <w:pPr>
        <w:pStyle w:val="ListBullet"/>
        <w:spacing w:after="60"/>
      </w:pPr>
      <w:r>
        <w:t xml:space="preserve">SARIF export supports sharing results with compatible code-review tools. It retains scanner/review status so that exported findings do not imply every check completed.</w:t>
      </w:r>
    </w:p>
    <w:p>
      <w:pPr>
        <w:pStyle w:val="ListBullet"/>
        <w:spacing w:after="60"/>
      </w:pPr>
      <w:r>
        <w:t xml:space="preserve">A signed evidence pack contains the redacted saved report, corresponding SARIF, integrity hashes, and a signed local hash-chain ledger. The Ed25519 signing key is encrypted with a user-provided passphrase and stored in app data. The pack can be verified inside SecAudit; compare the public-key fingerprint through a separate trusted channel before relying on signer identity.</w:t>
      </w:r>
    </w:p>
    <w:p>
      <w:pPr>
        <w:pStyle w:val="ListBullet"/>
        <w:spacing w:after="60"/>
      </w:pPr>
      <w:r>
        <w:t xml:space="preserve">Evidence packs are a provenance/integrity feature only. The embedded public key is self-signed, there is no external timestamp authority or regulatory control mapping, and the pack does not certify SOC 2, ISO 27001, or cyber-insurance answers.</w:t>
      </w:r>
    </w:p>
    <w:p>
      <w:pPr>
        <w:pStyle w:val="ListBullet"/>
        <w:spacing w:after="60"/>
      </w:pPr>
      <w:r>
        <w:t xml:space="preserve">An analyst annotation is saved into a </w:t>
      </w:r>
      <w:r>
        <w:rPr>
          <w:b/>
        </w:rPr>
        <w:t xml:space="preserve">new Markdown copy</w:t>
      </w:r>
      <w:r>
        <w:t xml:space="preserve">; it does not rewrite the original findings or an existing report copy.</w:t>
      </w:r>
    </w:p>
    <w:p>
      <w:pPr>
        <w:pStyle w:val="ListBullet"/>
        <w:spacing w:after="60"/>
      </w:pPr>
      <w:r>
        <w:t xml:space="preserve">Threat Log triage labels are session-only annotations. They do not change scanner findings, SARIF output, or selected files.</w:t>
      </w:r>
    </w:p>
    <w:p>
      <w:pPr>
        <w:pStyle w:val="ListBullet"/>
        <w:spacing w:after="60"/>
      </w:pPr>
      <w:r>
        <w:t xml:space="preserve">Quarantine is an explicit, separate action limited to regular files marked by ClamAV. It requires user confirmation, verifies hashes, and does not overwrite an existing file during restore.</w:t>
      </w:r>
    </w:p>
    <w:p>
      <w:pPr>
        <w:pStyle w:val="ListBullet"/>
        <w:spacing w:after="60"/>
      </w:pPr>
      <w:r>
        <w:t xml:space="preserve">Saved reports and redacted aggregate review memory are stored locally. The app bounds retention to 100 reports and 500 memory records. Learned memory excludes complete source files and raw excerpts.</w:t>
      </w:r>
    </w:p>
    <w:p>
      <w:pPr>
        <w:pStyle w:val="ListBullet"/>
        <w:spacing w:after="60"/>
      </w:pPr>
      <w:r>
        <w:t xml:space="preserve">The </w:t>
      </w:r>
      <w:r>
        <w:rPr>
          <w:b/>
        </w:rPr>
        <w:t xml:space="preserve">Train</w:t>
      </w:r>
      <w:r>
        <w:t xml:space="preserve"> action creates a local Ollama prompt profile from aggregate saved summaries; it does not fine-tune model weights. It is restricted to Local mode with a loopback Ollama host.</w:t>
      </w:r>
    </w:p>
    <w:p>
      <w:pPr>
        <w:pStyle w:val="Heading2"/>
      </w:pPr>
      <w:r>
        <w:rPr>
          <w:rFonts w:ascii="Aptos" w:hAnsi="Aptos"/>
          <w:b w:val="0"/>
          <w:color w:val="222222"/>
          <w:sz w:val="21"/>
        </w:rPr>
        <w:t xml:space="preserve">Assistant and provider behavior</w:t>
      </w:r>
    </w:p>
    <w:p>
      <w:pPr>
        <w:pStyle w:val="ListBullet"/>
        <w:spacing w:after="60"/>
      </w:pPr>
      <w:r>
        <w:rPr>
          <w:b/>
        </w:rPr>
        <w:t xml:space="preserve">Local</w:t>
      </w:r>
      <w:r>
        <w:t xml:space="preserve"> mode uses the configured Ollama host and model(s). Local scan memory may be used as bounded, untrusted context.</w:t>
      </w:r>
    </w:p>
    <w:p>
      <w:pPr>
        <w:pStyle w:val="ListBullet"/>
        <w:spacing w:after="60"/>
      </w:pPr>
      <w:r>
        <w:rPr>
          <w:b/>
        </w:rPr>
        <w:t xml:space="preserve">Cloud</w:t>
      </w:r>
      <w:r>
        <w:t xml:space="preserve"> mode uses OpenRouter exclusively. A selected report is sent only after the app asks for disclosure confirmation. Local memory is not sent to Cloud, and Cloud failures do not trigger local-model fallback.</w:t>
      </w:r>
    </w:p>
    <w:p>
      <w:pPr>
        <w:pStyle w:val="ListBullet"/>
        <w:spacing w:after="60"/>
      </w:pPr>
      <w:r>
        <w:t xml:space="preserve">Imported JSON, SARIF, Markdown, or text reports can be attached temporarily to an Assistant request. Imported context is bounded and redacted, is treated as untrusted data, and is not added to the saved audit archive.</w:t>
      </w:r>
    </w:p>
    <w:p>
      <w:pPr>
        <w:pStyle w:val="ListBullet"/>
        <w:spacing w:after="60"/>
      </w:pPr>
      <w:r>
        <w:t xml:space="preserve">Public web search is optional per request. When used, source URLs and relevant assumptions are shown in the Assistant details.</w:t>
      </w:r>
    </w:p>
    <w:p>
      <w:pPr>
        <w:pStyle w:val="ListBullet"/>
        <w:spacing w:after="60"/>
      </w:pPr>
      <w:r>
        <w:t xml:space="preserve">Model output is advisory. It cannot choose arbitrary commands or tools, modify target files, or authorize changes.</w:t>
      </w:r>
    </w:p>
    <w:p>
      <w:pPr>
        <w:pStyle w:val="Heading2"/>
      </w:pPr>
      <w:r>
        <w:rPr>
          <w:rFonts w:ascii="Aptos" w:hAnsi="Aptos"/>
          <w:b w:val="0"/>
          <w:color w:val="222222"/>
          <w:sz w:val="21"/>
        </w:rPr>
        <w:t xml:space="preserve">Scope and safety boundaries</w:t>
      </w:r>
    </w:p>
    <w:p>
      <w:pPr>
        <w:pStyle w:val="ListBullet"/>
        <w:spacing w:after="60"/>
      </w:pPr>
      <w:r>
        <w:t xml:space="preserve">Only explicitly selected and confirmed paths are scanned; there is no implicit default target.</w:t>
      </w:r>
    </w:p>
    <w:p>
      <w:pPr>
        <w:pStyle w:val="ListBullet"/>
        <w:spacing w:after="60"/>
      </w:pPr>
      <w:r>
        <w:t xml:space="preserve">Scanner operations run locally with fixed integrations, bounded execution, and no shell command constructed from model output.</w:t>
      </w:r>
    </w:p>
    <w:p>
      <w:pPr>
        <w:pStyle w:val="ListBullet"/>
        <w:spacing w:after="60"/>
      </w:pPr>
      <w:r>
        <w:t xml:space="preserve">The app does not run executables, installers, scripts, or archive members as part of File review or a scan.</w:t>
      </w:r>
    </w:p>
    <w:p>
      <w:pPr>
        <w:pStyle w:val="ListBullet"/>
        <w:spacing w:after="60"/>
      </w:pPr>
      <w:r>
        <w:rPr>
          <w:rFonts w:ascii="Consolas" w:hAnsi="Consolas" w:cs="Consolas"/>
        </w:rPr>
        <w:t xml:space="preserve">cyber-guardian/</w:t>
      </w:r>
      <w:r>
        <w:t xml:space="preserve"> is a separate upstream Strix checkout. The SecAudit wrapper does not invoke it for folder scans. A local source review must not be described as a live network test or penetration test.</w:t>
      </w:r>
    </w:p>
    <w:p>
      <w:pPr>
        <w:pStyle w:val="ListBullet"/>
        <w:spacing w:after="60"/>
      </w:pPr>
      <w:r>
        <w:t xml:space="preserve">The optional Network screen is host troubleshooting, not packet capture or a security assessment of a network.</w:t>
      </w:r>
    </w:p>
    <w:p>
      <w:pPr>
        <w:pStyle w:val="ListBullet"/>
        <w:spacing w:after="60"/>
      </w:pPr>
      <w:r>
        <w:t xml:space="preserve">Missing optional tools, provider failures, partial model coverage, and skipped checks must remain visible. None is evidence that the target is clean.</w:t>
      </w:r>
    </w:p>
    <w:p>
      <w:pPr>
        <w:pStyle w:val="ListBullet"/>
        <w:spacing w:after="60"/>
      </w:pPr>
      <w:r>
        <w:t xml:space="preserve">Run Monitor shows background scanner readiness: Semgrep needs a successful fixture scan, and ClamAV needs a successful custom-signature/clean-fixture test. It does not install or invoke the upstream autonomous Strix engine.</w:t>
      </w:r>
    </w:p>
    <w:p>
      <w:pPr>
        <w:pStyle w:val="ListBullet"/>
        <w:spacing w:after="60"/>
      </w:pPr>
      <w:r>
        <w:t xml:space="preserve">The built-in Skills list includes bounded Strix reference guidance; this content cannot execute tools or expand the confirmed scope.</w:t>
      </w:r>
    </w:p>
    <w:p>
      <w:pPr>
        <w:pStyle w:val="ListBullet"/>
        <w:spacing w:after="60"/>
      </w:pPr>
      <w:r>
        <w:t xml:space="preserve">Network-capable lab checks display an authorization banner, accept only IPs from </w:t>
      </w:r>
      <w:r>
        <w:rPr>
          <w:rFonts w:ascii="Consolas" w:hAnsi="Consolas" w:cs="Consolas"/>
        </w:rPr>
        <w:t xml:space="preserve">lab_targets.txt</w:t>
      </w:r>
      <w:r>
        <w:t xml:space="preserve">, and log rejected out-of-scope targets. Missing tools show </w:t>
      </w:r>
      <w:r>
        <w:rPr>
          <w:rFonts w:ascii="Consolas" w:hAnsi="Consolas" w:cs="Consolas"/>
        </w:rPr>
        <w:t xml:space="preserve">not_installed</w:t>
      </w:r>
      <w:r>
        <w:t xml:space="preserve"> and their reviewed install command.</w:t>
      </w:r>
    </w:p>
    <w:p>
      <w:r>
        <w:t xml:space="preserve">The Network page is horizontally organized into Connected network, Diagnose network, and Tool runner tabs. Diagnostics collect only bounded local data and authorized lab checks; private addresses, SSIDs, DNS server addresses, and peer identities are hidden. Offline Semgrep uses the bundled local rules rather than resolving the remote ruleset. Public training links are catalog references only; they never become implicit targets.</w:t>
      </w:r>
    </w:p>
    <w:p>
      <w:pPr>
        <w:pStyle w:val="Heading2"/>
      </w:pPr>
      <w:r>
        <w:rPr>
          <w:rFonts w:ascii="Aptos" w:hAnsi="Aptos"/>
          <w:b w:val="0"/>
          <w:color w:val="222222"/>
          <w:sz w:val="21"/>
        </w:rPr>
        <w:t xml:space="preserve">Related documentation</w:t>
      </w:r>
    </w:p>
    <w:p>
      <w:pPr>
        <w:pStyle w:val="ListBullet"/>
        <w:spacing w:after="60"/>
      </w:pPr>
      <w:r>
        <w:t xml:space="preserve">Installation and setup</w:t>
      </w:r>
    </w:p>
    <w:p>
      <w:pPr>
        <w:pStyle w:val="ListBullet"/>
        <w:spacing w:after="60"/>
      </w:pPr>
      <w:r>
        <w:t xml:space="preserve">Architecture and scan boundaries</w:t>
      </w:r>
    </w:p>
    <w:p>
      <w:pPr>
        <w:pStyle w:val="ListBullet"/>
        <w:spacing w:after="60"/>
      </w:pPr>
      <w:r>
        <w:t xml:space="preserve">Strix and scanner integration</w:t>
      </w:r>
    </w:p>
    <w:p>
      <w:pPr>
        <w:pStyle w:val="Heading2"/>
      </w:pPr>
      <w:r>
        <w:rPr>
          <w:rFonts w:ascii="Aptos" w:hAnsi="Aptos"/>
          <w:b w:val="0"/>
          <w:color w:val="222222"/>
          <w:sz w:val="21"/>
        </w:rPr>
        <w:t xml:space="preserve">Batch review and assistant imports</w:t>
      </w:r>
    </w:p>
    <w:p>
      <w:r>
        <w:t xml:space="preserve">Batch Review keeps the selected script/file list explicit. Each selected item can be removed with </w:t>
      </w:r>
      <w:r>
        <w:rPr>
          <w:rFonts w:ascii="Consolas" w:hAnsi="Consolas" w:cs="Consolas"/>
        </w:rPr>
        <w:t xml:space="preserve">× Remove selected</w:t>
      </w:r>
      <w:r>
        <w:t xml:space="preserve"> before analysis, and the detailed report includes the actual status, start/end timestamps, duration, file metadata, findings, skipped items, limits, evidence sources, and recommended actions. The review remains bounded and read-only.</w:t>
      </w:r>
    </w:p>
    <w:p>
      <w:r>
        <w:t xml:space="preserve">Assistant </w:t>
      </w:r>
      <w:r>
        <w:rPr>
          <w:rFonts w:ascii="Consolas" w:hAnsi="Consolas" w:cs="Consolas"/>
        </w:rPr>
        <w:t xml:space="preserve">Import</w:t>
      </w:r>
      <w:r>
        <w:t xml:space="preserve"> accepts reports and supported source/script formats, including PowerShell, CMD/BAT, shell, Python, JavaScript/TypeScript, Java, C/C++, Go, Rust, PHP, HTML/CSS, SQL, JSON, YAML, XML, and related text formats. Each imported file is capped at 1 MiB; imported content is untrusted evidence and is never executed. Imported context can be removed with </w:t>
      </w:r>
      <w:r>
        <w:rPr>
          <w:rFonts w:ascii="Consolas" w:hAnsi="Consolas" w:cs="Consolas"/>
        </w:rPr>
        <w:t xml:space="preserve">× Remove imported</w:t>
      </w:r>
      <w:r>
        <w:t xml:space="preserve">.</w:t>
      </w:r>
    </w:p>
    <w:p>
      <w:r>
        <w:t xml:space="preserve">Batch analysis uses the same bounded intake, metadata, shared-rule, and type-aware rule pipeline for each supported file. It reports unsupported, binary, malformed, oversized, and archive-limited states explicitly. ZIP central-directory metadata is inspected without extraction; traversal members and excessive expansion are reported as findings. Semgrep and ClamAV remain specialist checks in the full audit path and are reported as unavailable/not run by Batch Review rather than being represented as clean results.</w:t>
      </w:r>
    </w:p>
    <w:p>
      <w:r>
        <w:t xml:space="preserve">Settings now exposes the current Standard user versus Administrator process state. Administrator mode is only started through a visible Windows UAC prompt; it is not a blanket permission grant and does not bypass UAC.</w:t>
      </w:r>
    </w:p>
    <w:p>
      <w:pPr>
        <w:pStyle w:val="Heading1"/>
        <w:pageBreakBefore/>
      </w:pPr>
      <w:r>
        <w:rPr>
          <w:rFonts w:ascii="Aptos" w:hAnsi="Aptos"/>
          <w:b w:val="0"/>
          <w:color w:val="222222"/>
          <w:sz w:val="21"/>
        </w:rPr>
        <w:t xml:space="preserve">Appendix B. Architecture</w:t>
      </w:r>
    </w:p>
    <w:p>
      <w:r>
        <w:rPr>
          <w:b/>
        </w:rPr>
        <w:t xml:space="preserve">Overview last updated: 2026-10-29.</w:t>
      </w:r>
      <w:r>
        <w:t xml:space="preserve"> This document describes the current top-level SecAudit wrapper, not the separate upstream Strix checkout.</w:t>
      </w:r>
    </w:p>
    <w:p>
      <w:pPr>
        <w:pStyle w:val="Heading2"/>
      </w:pPr>
      <w:r>
        <w:rPr>
          <w:rFonts w:ascii="Aptos" w:hAnsi="Aptos"/>
          <w:b w:val="0"/>
          <w:color w:val="222222"/>
          <w:sz w:val="21"/>
        </w:rPr>
        <w:t xml:space="preserve">Additional background checks</w:t>
      </w:r>
    </w:p>
    <w:p>
      <w:r>
        <w:t xml:space="preserve">Each confirmed audit runs bounded supplier-intake, AI-code, and shadow-automation static indicators in the scan worker against only the selected paths. Their findings and coverage status are added to the ordinary report. Supplied files are not executed, and a heuristic intake status is not a supplier certification.</w:t>
      </w:r>
    </w:p>
    <w:p>
      <w:r>
        <w:t xml:space="preserve">When a prior audit has findings, the next audit compares them with results from its currently confirmed scope. It reports </w:t>
      </w:r>
      <w:r>
        <w:rPr>
          <w:rFonts w:ascii="Consolas" w:hAnsi="Consolas" w:cs="Consolas"/>
        </w:rPr>
        <w:t xml:space="preserve">still detected</w:t>
      </w:r>
      <w:r>
        <w:t xml:space="preserve">, </w:t>
      </w:r>
      <w:r>
        <w:rPr>
          <w:rFonts w:ascii="Consolas" w:hAnsi="Consolas" w:cs="Consolas"/>
        </w:rPr>
        <w:t xml:space="preserve">not reproduced in static re-check</w:t>
      </w:r>
      <w:r>
        <w:t xml:space="preserve">, or </w:t>
      </w:r>
      <w:r>
        <w:rPr>
          <w:rFonts w:ascii="Consolas" w:hAnsi="Consolas" w:cs="Consolas"/>
        </w:rPr>
        <w:t xml:space="preserve">inconclusive</w:t>
      </w:r>
      <w:r>
        <w:t xml:space="preserve">; a missing pattern is never described as proof of a verified fix or as evidence of runtime exploitability. A changed scope or incomplete check produces an inconclusive result.</w:t>
      </w:r>
    </w:p>
    <w:p>
      <w:r>
        <w:t xml:space="preserve">Bundle, risk-register, and audience-report helpers remain backend utilities, but their former dedicated controls are not shown in the desktop UI. Operations that need a user-selected artifact, an output path, or a human risk decision are not started automatically.</w:t>
      </w:r>
    </w:p>
    <w:p>
      <w:r>
        <w:t xml:space="preserve">The Settings page's app-level offline option is persisted in the ignored local environment file. It blocks Cloud requests, public search, non-loopback model endpoints, remote Semgrep rule-pack resolution, model pulls, and ClamAV signature downloads. Offline audits may use the local pattern scanner, local ClamAV signatures, and loopback local models. Network diagnostics in this mode test only loopback and suppress gateway, public-IP, and DNS probes. This policy is not an operating-system firewall and cannot prove the host emitted no network traffic; regulated or air-gapped deployments must enforce egress restrictions outside SecAudit. Offline update bundles can be created or integrity-checked, but are not installed by the bundle verifier.</w:t>
      </w:r>
    </w:p>
    <w:p>
      <w:r>
        <w:t xml:space="preserve">Offline bundle verification requires a signed manifest bundle containing </w:t>
      </w:r>
      <w:r>
        <w:rPr>
          <w:rFonts w:ascii="Consolas" w:hAnsi="Consolas" w:cs="Consolas"/>
        </w:rPr>
        <w:t xml:space="preserve">manifest.json</w:t>
      </w:r>
      <w:r>
        <w:t xml:space="preserve">, </w:t>
      </w:r>
      <w:r>
        <w:rPr>
          <w:rFonts w:ascii="Consolas" w:hAnsi="Consolas" w:cs="Consolas"/>
        </w:rPr>
        <w:t xml:space="preserve">signature.ed25519</w:t>
      </w:r>
      <w:r>
        <w:t xml:space="preserve">, and </w:t>
      </w:r>
      <w:r>
        <w:rPr>
          <w:rFonts w:ascii="Consolas" w:hAnsi="Consolas" w:cs="Consolas"/>
        </w:rPr>
        <w:t xml:space="preserve">public_key.pem</w:t>
      </w:r>
      <w:r>
        <w:t xml:space="preserve">; hashes and the Ed25519 signature are checked locally. A successful check proves bundle integrity only, not the trustworthiness of the signing key or update contents. Risk-register and bundle helpers are not exposed as automatic or GUI actions. SecAudit combines predictable local scanners with optional language-model assistance. Scanners produce evidence; models explain evidence and draft response plans. Models do not execute arbitrary shell commands or make file changes.</w:t>
      </w:r>
    </w:p>
    <w:p>
      <w:r>
        <w:t xml:space="preserve">For a plain-language overview of the screens and user-facing features, see </w:t>
      </w:r>
      <w:r>
        <w:t xml:space="preserve">SecAudit application functions</w:t>
      </w:r>
      <w:r>
        <w:t xml:space="preserve">.</w:t>
      </w:r>
    </w:p>
    <w:p>
      <w:pPr>
        <w:pStyle w:val="Heading2"/>
      </w:pPr>
      <w:r>
        <w:rPr>
          <w:rFonts w:ascii="Aptos" w:hAnsi="Aptos"/>
          <w:b w:val="0"/>
          <w:color w:val="222222"/>
          <w:sz w:val="21"/>
        </w:rPr>
        <w:t xml:space="preserve">User flow</w:t>
      </w:r>
    </w:p>
    <w:p>
      <w:pPr>
        <w:shd w:val="clear" w:color="auto" w:fill="F2F2F2"/>
        <w:spacing w:before="0" w:after="0" w:line="240" w:lineRule="auto"/>
        <w:ind w:left="120"/>
      </w:pPr>
      <w:r>
        <w:rPr>
          <w:rFonts w:ascii="Consolas" w:hAnsi="Consolas" w:cs="Consolas"/>
          <w:sz w:val="16"/>
        </w:rPr>
        <w:t xml:space="preserve">flowchart LR</w:t>
      </w:r>
    </w:p>
    <w:p>
      <w:pPr>
        <w:shd w:val="clear" w:color="auto" w:fill="F2F2F2"/>
        <w:spacing w:before="0" w:after="0" w:line="240" w:lineRule="auto"/>
        <w:ind w:left="120"/>
      </w:pPr>
      <w:r>
        <w:rPr>
          <w:rFonts w:ascii="Consolas" w:hAnsi="Consolas" w:cs="Consolas"/>
          <w:sz w:val="16"/>
        </w:rPr>
        <w:t xml:space="preserve">  A[Choose files or folders] --&gt; B[Review and confirm scope]</w:t>
      </w:r>
    </w:p>
    <w:p>
      <w:pPr>
        <w:shd w:val="clear" w:color="auto" w:fill="F2F2F2"/>
        <w:spacing w:before="0" w:after="0" w:line="240" w:lineRule="auto"/>
        <w:ind w:left="120"/>
      </w:pPr>
      <w:r>
        <w:rPr>
          <w:rFonts w:ascii="Consolas" w:hAnsi="Consolas" w:cs="Consolas"/>
          <w:sz w:val="16"/>
        </w:rPr>
        <w:t xml:space="preserve">  B --&gt; C[Read-only code checks]</w:t>
      </w:r>
    </w:p>
    <w:p>
      <w:pPr>
        <w:shd w:val="clear" w:color="auto" w:fill="F2F2F2"/>
        <w:spacing w:before="0" w:after="0" w:line="240" w:lineRule="auto"/>
        <w:ind w:left="120"/>
      </w:pPr>
      <w:r>
        <w:rPr>
          <w:rFonts w:ascii="Consolas" w:hAnsi="Consolas" w:cs="Consolas"/>
          <w:sz w:val="16"/>
        </w:rPr>
        <w:t xml:space="preserve">  B --&gt; S[Semgrep p/r2c-security-audit]</w:t>
      </w:r>
    </w:p>
    <w:p>
      <w:pPr>
        <w:shd w:val="clear" w:color="auto" w:fill="F2F2F2"/>
        <w:spacing w:before="0" w:after="0" w:line="240" w:lineRule="auto"/>
        <w:ind w:left="120"/>
      </w:pPr>
      <w:r>
        <w:rPr>
          <w:rFonts w:ascii="Consolas" w:hAnsi="Consolas" w:cs="Consolas"/>
          <w:sz w:val="16"/>
        </w:rPr>
        <w:t xml:space="preserve">  B --&gt; D[Optional ClamAV scan]</w:t>
      </w:r>
    </w:p>
    <w:p>
      <w:pPr>
        <w:shd w:val="clear" w:color="auto" w:fill="F2F2F2"/>
        <w:spacing w:before="0" w:after="0" w:line="240" w:lineRule="auto"/>
        <w:ind w:left="120"/>
      </w:pPr>
      <w:r>
        <w:rPr>
          <w:rFonts w:ascii="Consolas" w:hAnsi="Consolas" w:cs="Consolas"/>
          <w:sz w:val="16"/>
        </w:rPr>
        <w:t xml:space="preserve">  B --&gt; O[Offline policy: no remote model/search/rule downloads]</w:t>
      </w:r>
    </w:p>
    <w:p>
      <w:pPr>
        <w:shd w:val="clear" w:color="auto" w:fill="F2F2F2"/>
        <w:spacing w:before="0" w:after="0" w:line="240" w:lineRule="auto"/>
        <w:ind w:left="120"/>
      </w:pPr>
      <w:r>
        <w:rPr>
          <w:rFonts w:ascii="Consolas" w:hAnsi="Consolas" w:cs="Consolas"/>
          <w:sz w:val="16"/>
        </w:rPr>
        <w:t xml:space="preserve">  C --&gt; M[Selected model reviews bounded evidence]</w:t>
      </w:r>
    </w:p>
    <w:p>
      <w:pPr>
        <w:shd w:val="clear" w:color="auto" w:fill="F2F2F2"/>
        <w:spacing w:before="0" w:after="0" w:line="240" w:lineRule="auto"/>
        <w:ind w:left="120"/>
      </w:pPr>
      <w:r>
        <w:rPr>
          <w:rFonts w:ascii="Consolas" w:hAnsi="Consolas" w:cs="Consolas"/>
          <w:sz w:val="16"/>
        </w:rPr>
        <w:t xml:space="preserve">  S --&gt; M</w:t>
      </w:r>
    </w:p>
    <w:p>
      <w:pPr>
        <w:shd w:val="clear" w:color="auto" w:fill="F2F2F2"/>
        <w:spacing w:before="0" w:after="0" w:line="240" w:lineRule="auto"/>
        <w:ind w:left="120"/>
      </w:pPr>
      <w:r>
        <w:rPr>
          <w:rFonts w:ascii="Consolas" w:hAnsi="Consolas" w:cs="Consolas"/>
          <w:sz w:val="16"/>
        </w:rPr>
        <w:t xml:space="preserve">  D --&gt; M</w:t>
      </w:r>
    </w:p>
    <w:p>
      <w:pPr>
        <w:shd w:val="clear" w:color="auto" w:fill="F2F2F2"/>
        <w:spacing w:before="0" w:after="0" w:line="240" w:lineRule="auto"/>
        <w:ind w:left="120"/>
      </w:pPr>
      <w:r>
        <w:rPr>
          <w:rFonts w:ascii="Consolas" w:hAnsi="Consolas" w:cs="Consolas"/>
          <w:sz w:val="16"/>
        </w:rPr>
        <w:t xml:space="preserve">  M --&gt; E[Review findings]</w:t>
      </w:r>
    </w:p>
    <w:p>
      <w:pPr>
        <w:shd w:val="clear" w:color="auto" w:fill="F2F2F2"/>
        <w:spacing w:before="0" w:after="0" w:line="240" w:lineRule="auto"/>
        <w:ind w:left="120"/>
      </w:pPr>
      <w:r>
        <w:rPr>
          <w:rFonts w:ascii="Consolas" w:hAnsi="Consolas" w:cs="Consolas"/>
          <w:sz w:val="16"/>
        </w:rPr>
        <w:t xml:space="preserve">  D --&gt; E</w:t>
      </w:r>
    </w:p>
    <w:p>
      <w:pPr>
        <w:shd w:val="clear" w:color="auto" w:fill="F2F2F2"/>
        <w:spacing w:before="0" w:after="0" w:line="240" w:lineRule="auto"/>
        <w:ind w:left="120"/>
      </w:pPr>
      <w:r>
        <w:rPr>
          <w:rFonts w:ascii="Consolas" w:hAnsi="Consolas" w:cs="Consolas"/>
          <w:sz w:val="16"/>
        </w:rPr>
        <w:t xml:space="preserve">  E --&gt; F[Selected model explains finding]</w:t>
      </w:r>
    </w:p>
    <w:p>
      <w:pPr>
        <w:shd w:val="clear" w:color="auto" w:fill="F2F2F2"/>
        <w:spacing w:before="0" w:after="0" w:line="240" w:lineRule="auto"/>
        <w:ind w:left="120"/>
      </w:pPr>
      <w:r>
        <w:rPr>
          <w:rFonts w:ascii="Consolas" w:hAnsi="Consolas" w:cs="Consolas"/>
          <w:sz w:val="16"/>
        </w:rPr>
        <w:t xml:space="preserve">  F --&gt; G[Person reviews remediation advice]</w:t>
      </w:r>
    </w:p>
    <w:p>
      <w:pPr>
        <w:shd w:val="clear" w:color="auto" w:fill="F2F2F2"/>
        <w:spacing w:before="0" w:after="0" w:line="240" w:lineRule="auto"/>
        <w:ind w:left="120"/>
      </w:pPr>
      <w:r>
        <w:rPr>
          <w:rFonts w:ascii="Consolas" w:hAnsi="Consolas" w:cs="Consolas"/>
          <w:sz w:val="16"/>
        </w:rPr>
        <w:t xml:space="preserve">  E --&gt; T[Session-only Threat Log triage]</w:t>
      </w:r>
    </w:p>
    <w:p>
      <w:pPr>
        <w:shd w:val="clear" w:color="auto" w:fill="F2F2F2"/>
        <w:spacing w:before="0" w:after="0" w:line="240" w:lineRule="auto"/>
        <w:ind w:left="120"/>
      </w:pPr>
      <w:r>
        <w:rPr>
          <w:rFonts w:ascii="Consolas" w:hAnsi="Consolas" w:cs="Consolas"/>
          <w:sz w:val="16"/>
        </w:rPr>
        <w:t xml:space="preserve">  E --&gt; I[Confirm ClamAV detection]</w:t>
      </w:r>
    </w:p>
    <w:p>
      <w:pPr>
        <w:shd w:val="clear" w:color="auto" w:fill="F2F2F2"/>
        <w:spacing w:before="0" w:after="0" w:line="240" w:lineRule="auto"/>
        <w:ind w:left="120"/>
      </w:pPr>
      <w:r>
        <w:rPr>
          <w:rFonts w:ascii="Consolas" w:hAnsi="Consolas" w:cs="Consolas"/>
          <w:sz w:val="16"/>
        </w:rPr>
        <w:t xml:space="preserve">  I --&gt; J[Hash-verified quarantine + restore manifest]</w:t>
      </w:r>
    </w:p>
    <w:p>
      <w:pPr>
        <w:shd w:val="clear" w:color="auto" w:fill="F2F2F2"/>
        <w:spacing w:before="0" w:after="0" w:line="240" w:lineRule="auto"/>
        <w:ind w:left="120"/>
      </w:pPr>
      <w:r>
        <w:rPr>
          <w:rFonts w:ascii="Consolas" w:hAnsi="Consolas" w:cs="Consolas"/>
          <w:sz w:val="16"/>
        </w:rPr>
        <w:t xml:space="preserve">  E --&gt; H[Export SARIF]</w:t>
      </w:r>
    </w:p>
    <w:p>
      <w:pPr>
        <w:spacing w:after="60"/>
      </w:pPr>
    </w:p>
    <w:p>
      <w:pPr>
        <w:pStyle w:val="Heading2"/>
      </w:pPr>
      <w:r>
        <w:rPr>
          <w:rFonts w:ascii="Aptos" w:hAnsi="Aptos"/>
          <w:b w:val="0"/>
          <w:color w:val="222222"/>
          <w:sz w:val="21"/>
        </w:rPr>
        <w:t xml:space="preserve">Components</w:t>
      </w:r>
    </w:p>
    <w:tbl>
      <w:tblPr>
        <w:tblStyle w:val="TableGrid"/>
        <w:tblW w:w="9989" w:type="dxa"/>
        <w:jc w:val="center"/>
        <w:tblLayout w:type="fixed"/>
        <w:tblLook w:val="04A0" w:firstRow="1" w:lastRow="0" w:firstColumn="1" w:lastColumn="0" w:noHBand="0" w:noVBand="1"/>
      </w:tblPr>
      <w:tblGrid>
        <w:gridCol w:w="4682"/>
        <w:gridCol w:w="5307"/>
      </w:tblGrid>
      <w:tr>
        <w:trPr>
          <w:tblHeader/>
        </w:trPr>
        <w:tc>
          <w:tcPr>
            <w:tcW w:w="4682"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pPr>
              <w:spacing w:before="0" w:after="0"/>
            </w:pPr>
            <w:r>
              <w:rPr>
                <w:sz w:val="18"/>
                <w:b/>
                <w:color w:val="FFFFFF"/>
              </w:rPr>
              <w:t xml:space="preserve">Component</w:t>
            </w:r>
          </w:p>
        </w:tc>
        <w:tc>
          <w:tcPr>
            <w:tcW w:w="5307"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pPr>
              <w:spacing w:before="0" w:after="0"/>
            </w:pPr>
            <w:r>
              <w:rPr>
                <w:sz w:val="18"/>
                <w:b/>
                <w:color w:val="FFFFFF"/>
              </w:rPr>
              <w:t xml:space="preserve">Responsibility</w:t>
            </w:r>
          </w:p>
        </w:tc>
      </w:tr>
      <w:tr>
        <w:trPr>
          <w:cantSplit/>
        </w:trPr>
        <w:tc>
          <w:tcPr>
            <w:tcW w:w="46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Fonts w:ascii="Consolas" w:hAnsi="Consolas" w:cs="Consolas"/>
              </w:rPr>
              <w:t xml:space="preserve">llm_app/ui/main_window.py</w:t>
            </w:r>
          </w:p>
        </w:tc>
        <w:tc>
          <w:tcPr>
            <w:tcW w:w="530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Native PyQt6 widget interface, folder selection, progress, assistant, and results</w:t>
            </w:r>
          </w:p>
        </w:tc>
      </w:tr>
      <w:tr>
        <w:trPr>
          <w:cantSplit/>
        </w:trPr>
        <w:tc>
          <w:tcPr>
            <w:tcW w:w="46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Fonts w:ascii="Consolas" w:hAnsi="Consolas" w:cs="Consolas"/>
              </w:rPr>
              <w:t xml:space="preserve">llm_app/ui/dev_window.py</w:t>
            </w:r>
          </w:p>
        </w:tc>
        <w:tc>
          <w:tcPr>
            <w:tcW w:w="530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Dev Toolkit screens and Batch Review report rendering on a bounded Qt worker pool</w:t>
            </w:r>
          </w:p>
        </w:tc>
      </w:tr>
      <w:tr>
        <w:trPr>
          <w:cantSplit/>
        </w:trPr>
        <w:tc>
          <w:tcPr>
            <w:tcW w:w="46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Fonts w:ascii="Consolas" w:hAnsi="Consolas" w:cs="Consolas"/>
              </w:rPr>
              <w:t xml:space="preserve">llm_app/dev_toolkit/engine.py</w:t>
            </w:r>
          </w:p>
        </w:tc>
        <w:tc>
          <w:tcPr>
            <w:tcW w:w="530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Read-only bounded static analysis, finding normalization, behavior correlation, and file-level coverage</w:t>
            </w:r>
          </w:p>
        </w:tc>
      </w:tr>
      <w:tr>
        <w:trPr>
          <w:cantSplit/>
        </w:trPr>
        <w:tc>
          <w:tcPr>
            <w:tcW w:w="46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Fonts w:ascii="Consolas" w:hAnsi="Consolas" w:cs="Consolas"/>
              </w:rPr>
              <w:t xml:space="preserve">llm_app/dev_toolkit/intake.py</w:t>
            </w:r>
          </w:p>
        </w:tc>
        <w:tc>
          <w:tcPr>
            <w:tcW w:w="530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Supported-file discovery, chunked bounded reads, and streaming SHA-256 calculation</w:t>
            </w:r>
          </w:p>
        </w:tc>
      </w:tr>
      <w:tr>
        <w:trPr>
          <w:cantSplit/>
        </w:trPr>
        <w:tc>
          <w:tcPr>
            <w:tcW w:w="46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Fonts w:ascii="Consolas" w:hAnsi="Consolas" w:cs="Consolas"/>
              </w:rPr>
              <w:t xml:space="preserve">llm_app/dev_toolkit/models.py</w:t>
            </w:r>
          </w:p>
        </w:tc>
        <w:tc>
          <w:tcPr>
            <w:tcW w:w="530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Finding contract, analysis limits, and coverage/result serialization</w:t>
            </w:r>
          </w:p>
        </w:tc>
      </w:tr>
      <w:tr>
        <w:trPr>
          <w:cantSplit/>
        </w:trPr>
        <w:tc>
          <w:tcPr>
            <w:tcW w:w="46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Fonts w:ascii="Consolas" w:hAnsi="Consolas" w:cs="Consolas"/>
              </w:rPr>
              <w:t xml:space="preserve">llm_app/core/strix_engine.py</w:t>
            </w:r>
          </w:p>
        </w:tc>
        <w:tc>
          <w:tcPr>
            <w:tcW w:w="530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Scoped source/config pattern checks, Semgrep and ClamAV adapter coordination, finding collection, SARIF export</w:t>
            </w:r>
          </w:p>
        </w:tc>
      </w:tr>
      <w:tr>
        <w:trPr>
          <w:cantSplit/>
        </w:trPr>
        <w:tc>
          <w:tcPr>
            <w:tcW w:w="46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Fonts w:ascii="Consolas" w:hAnsi="Consolas" w:cs="Consolas"/>
              </w:rPr>
              <w:t xml:space="preserve">llm_app/core/semgrep_scanner.py</w:t>
            </w:r>
          </w:p>
        </w:tc>
        <w:tc>
          <w:tcPr>
            <w:tcW w:w="530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Bounded Semgrep CLI invocation and JSON-to-finding/coverage mapping</w:t>
            </w:r>
          </w:p>
        </w:tc>
      </w:tr>
      <w:tr>
        <w:trPr>
          <w:cantSplit/>
        </w:trPr>
        <w:tc>
          <w:tcPr>
            <w:tcW w:w="46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Fonts w:ascii="Consolas" w:hAnsi="Consolas" w:cs="Consolas"/>
              </w:rPr>
              <w:t xml:space="preserve">llm_app/core/clamav_scanner.py</w:t>
            </w:r>
          </w:p>
        </w:tc>
        <w:tc>
          <w:tcPr>
            <w:tcW w:w="530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Bounded one-shot and loopback daemon scans, coverage parsing, and session daemon lifecycle</w:t>
            </w:r>
          </w:p>
        </w:tc>
      </w:tr>
      <w:tr>
        <w:trPr>
          <w:cantSplit/>
        </w:trPr>
        <w:tc>
          <w:tcPr>
            <w:tcW w:w="46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Fonts w:ascii="Consolas" w:hAnsi="Consolas" w:cs="Consolas"/>
              </w:rPr>
              <w:t xml:space="preserve">llm_app/core/semgrep_warmup.py</w:t>
            </w:r>
            <w:r>
              <w:rPr>
                <w:sz w:val="18"/>
              </w:rPr>
              <w:t xml:space="preserve">, </w:t>
            </w:r>
            <w:r>
              <w:rPr>
                <w:sz w:val="18"/>
                <w:rFonts w:ascii="Consolas" w:hAnsi="Consolas" w:cs="Consolas"/>
              </w:rPr>
              <w:t xml:space="preserve">clamav_warmup.py</w:t>
            </w:r>
          </w:p>
        </w:tc>
        <w:tc>
          <w:tcPr>
            <w:tcW w:w="530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Background version + functional probes and persisted scanner readiness</w:t>
            </w:r>
          </w:p>
        </w:tc>
      </w:tr>
      <w:tr>
        <w:trPr>
          <w:cantSplit/>
        </w:trPr>
        <w:tc>
          <w:tcPr>
            <w:tcW w:w="46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Fonts w:ascii="Consolas" w:hAnsi="Consolas" w:cs="Consolas"/>
              </w:rPr>
              <w:t xml:space="preserve">llm_app/core/scanner_state.py</w:t>
            </w:r>
          </w:p>
        </w:tc>
        <w:tc>
          <w:tcPr>
            <w:tcW w:w="530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Atomic persistence of bounded, local scanner probe state</w:t>
            </w:r>
          </w:p>
        </w:tc>
      </w:tr>
      <w:tr>
        <w:trPr>
          <w:cantSplit/>
        </w:trPr>
        <w:tc>
          <w:tcPr>
            <w:tcW w:w="46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Fonts w:ascii="Consolas" w:hAnsi="Consolas" w:cs="Consolas"/>
              </w:rPr>
              <w:t xml:space="preserve">llm_app/core/processes.py</w:t>
            </w:r>
          </w:p>
        </w:tc>
        <w:tc>
          <w:tcPr>
            <w:tcW w:w="530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Argument-array process launching, output caps, cancellation, and Windows Job Object containment</w:t>
            </w:r>
          </w:p>
        </w:tc>
      </w:tr>
      <w:tr>
        <w:trPr>
          <w:cantSplit/>
        </w:trPr>
        <w:tc>
          <w:tcPr>
            <w:tcW w:w="46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Fonts w:ascii="Consolas" w:hAnsi="Consolas" w:cs="Consolas"/>
              </w:rPr>
              <w:t xml:space="preserve">strix/report/</w:t>
            </w:r>
          </w:p>
        </w:tc>
        <w:tc>
          <w:tcPr>
            <w:tcW w:w="530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Finding state and SARIF report helpers reused by the draft app</w:t>
            </w:r>
          </w:p>
        </w:tc>
      </w:tr>
      <w:tr>
        <w:trPr>
          <w:cantSplit/>
        </w:trPr>
        <w:tc>
          <w:tcPr>
            <w:tcW w:w="46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Fonts w:ascii="Consolas" w:hAnsi="Consolas" w:cs="Consolas"/>
              </w:rPr>
              <w:t xml:space="preserve">llm_app/core/ollama_client.py</w:t>
            </w:r>
          </w:p>
        </w:tc>
        <w:tc>
          <w:tcPr>
            <w:tcW w:w="530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Qwen2.5 low-complexity local review</w:t>
            </w:r>
          </w:p>
        </w:tc>
      </w:tr>
      <w:tr>
        <w:trPr>
          <w:cantSplit/>
        </w:trPr>
        <w:tc>
          <w:tcPr>
            <w:tcW w:w="46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Fonts w:ascii="Consolas" w:hAnsi="Consolas" w:cs="Consolas"/>
              </w:rPr>
              <w:t xml:space="preserve">llm_app/core/local_model_backend.py</w:t>
            </w:r>
          </w:p>
        </w:tc>
        <w:tc>
          <w:tcPr>
            <w:tcW w:w="530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Vendor-neutral local model routes and model management over Ollama's HTTP API</w:t>
            </w:r>
          </w:p>
        </w:tc>
      </w:tr>
      <w:tr>
        <w:trPr>
          <w:cantSplit/>
        </w:trPr>
        <w:tc>
          <w:tcPr>
            <w:tcW w:w="46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Fonts w:ascii="Consolas" w:hAnsi="Consolas" w:cs="Consolas"/>
              </w:rPr>
              <w:t xml:space="preserve">llm_app/core/security_review.py</w:t>
            </w:r>
          </w:p>
        </w:tc>
        <w:tc>
          <w:tcPr>
            <w:tcW w:w="530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Bounded file/scan evidence review, model escalation, and cloud-only routing</w:t>
            </w:r>
          </w:p>
        </w:tc>
      </w:tr>
      <w:tr>
        <w:trPr>
          <w:cantSplit/>
        </w:trPr>
        <w:tc>
          <w:tcPr>
            <w:tcW w:w="46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Fonts w:ascii="Consolas" w:hAnsi="Consolas" w:cs="Consolas"/>
              </w:rPr>
              <w:t xml:space="preserve">llm_app/core/workflow_skills.py</w:t>
            </w:r>
          </w:p>
        </w:tc>
        <w:tc>
          <w:tcPr>
            <w:tcW w:w="530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Built-in review guidance and bounded, locally stored custom workflow profiles</w:t>
            </w:r>
          </w:p>
        </w:tc>
      </w:tr>
      <w:tr>
        <w:trPr>
          <w:cantSplit/>
        </w:trPr>
        <w:tc>
          <w:tcPr>
            <w:tcW w:w="46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Fonts w:ascii="Consolas" w:hAnsi="Consolas" w:cs="Consolas"/>
              </w:rPr>
              <w:t xml:space="preserve">llm_app/core/learning_memory.py</w:t>
            </w:r>
          </w:p>
        </w:tc>
        <w:tc>
          <w:tcPr>
            <w:tcW w:w="530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Bounded local report archive, redacted scan memory, assistant report context, and learned-profile guidance</w:t>
            </w:r>
          </w:p>
        </w:tc>
      </w:tr>
      <w:tr>
        <w:trPr>
          <w:cantSplit/>
        </w:trPr>
        <w:tc>
          <w:tcPr>
            <w:tcW w:w="46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Fonts w:ascii="Consolas" w:hAnsi="Consolas" w:cs="Consolas"/>
              </w:rPr>
              <w:t xml:space="preserve">llm_app/core/openrouter_client.py</w:t>
            </w:r>
          </w:p>
        </w:tc>
        <w:tc>
          <w:tcPr>
            <w:tcW w:w="530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OpenRouter cloud requests</w:t>
            </w:r>
          </w:p>
        </w:tc>
      </w:tr>
      <w:tr>
        <w:trPr>
          <w:cantSplit/>
        </w:trPr>
        <w:tc>
          <w:tcPr>
            <w:tcW w:w="46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Fonts w:ascii="Consolas" w:hAnsi="Consolas" w:cs="Consolas"/>
              </w:rPr>
              <w:t xml:space="preserve">llm_app/core/pipeline.py</w:t>
            </w:r>
          </w:p>
        </w:tc>
        <w:tc>
          <w:tcPr>
            <w:tcW w:w="530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General assistant routing with exclusive Cloud mode</w:t>
            </w:r>
          </w:p>
        </w:tc>
      </w:tr>
      <w:tr>
        <w:trPr>
          <w:cantSplit/>
        </w:trPr>
        <w:tc>
          <w:tcPr>
            <w:tcW w:w="46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Fonts w:ascii="Consolas" w:hAnsi="Consolas" w:cs="Consolas"/>
              </w:rPr>
              <w:t xml:space="preserve">llm_app/core/enterprise_features.py</w:t>
            </w:r>
          </w:p>
        </w:tc>
        <w:tc>
          <w:tcPr>
            <w:tcW w:w="530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Supplier and automation indicators, risk register, audience reports, bundle integrity checks, and static fix-comparison status</w:t>
            </w:r>
          </w:p>
        </w:tc>
      </w:tr>
      <w:tr>
        <w:trPr>
          <w:cantSplit/>
        </w:trPr>
        <w:tc>
          <w:tcPr>
            <w:tcW w:w="46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Fonts w:ascii="Consolas" w:hAnsi="Consolas" w:cs="Consolas"/>
              </w:rPr>
              <w:t xml:space="preserve">llm_app/core/file_assessment.py</w:t>
            </w:r>
          </w:p>
        </w:tc>
        <w:tc>
          <w:tcPr>
            <w:tcW w:w="530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Bounded, read-only file metadata and offline Authenticode inspection; no execution</w:t>
            </w:r>
          </w:p>
        </w:tc>
      </w:tr>
      <w:tr>
        <w:trPr>
          <w:cantSplit/>
        </w:trPr>
        <w:tc>
          <w:tcPr>
            <w:tcW w:w="46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Fonts w:ascii="Consolas" w:hAnsi="Consolas" w:cs="Consolas"/>
              </w:rPr>
              <w:t xml:space="preserve">llm_app/core/report_import.py</w:t>
            </w:r>
          </w:p>
        </w:tc>
        <w:tc>
          <w:tcPr>
            <w:tcW w:w="530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Bounded, redacted import of user-selected text, Markdown, JSON, and SARIF chat context</w:t>
            </w:r>
          </w:p>
        </w:tc>
      </w:tr>
      <w:tr>
        <w:trPr>
          <w:cantSplit/>
        </w:trPr>
        <w:tc>
          <w:tcPr>
            <w:tcW w:w="46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Fonts w:ascii="Consolas" w:hAnsi="Consolas" w:cs="Consolas"/>
              </w:rPr>
              <w:t xml:space="preserve">llm_app/core/evidence_pack.py</w:t>
            </w:r>
          </w:p>
        </w:tc>
        <w:tc>
          <w:tcPr>
            <w:tcW w:w="530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Passphrase-encrypted local Ed25519 signing key, signed report bundles, hash-chain ledger, and bounded integrity verification</w:t>
            </w:r>
          </w:p>
        </w:tc>
      </w:tr>
      <w:tr>
        <w:trPr>
          <w:cantSplit/>
        </w:trPr>
        <w:tc>
          <w:tcPr>
            <w:tcW w:w="46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Fonts w:ascii="Consolas" w:hAnsi="Consolas" w:cs="Consolas"/>
              </w:rPr>
              <w:t xml:space="preserve">llm_app/core/network_monitor.py</w:t>
            </w:r>
          </w:p>
        </w:tc>
        <w:tc>
          <w:tcPr>
            <w:tcW w:w="530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Local interface counters and explicitly confirmed, read-only connectivity checks</w:t>
            </w:r>
          </w:p>
        </w:tc>
      </w:tr>
      <w:tr>
        <w:trPr>
          <w:cantSplit/>
        </w:trPr>
        <w:tc>
          <w:tcPr>
            <w:tcW w:w="46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Fonts w:ascii="Consolas" w:hAnsi="Consolas" w:cs="Consolas"/>
              </w:rPr>
              <w:t xml:space="preserve">llm_app/core/authenticode.py</w:t>
            </w:r>
          </w:p>
        </w:tc>
        <w:tc>
          <w:tcPr>
            <w:tcW w:w="530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Offline WinVerifyTrust checks for selected Windows PE files</w:t>
            </w:r>
          </w:p>
        </w:tc>
      </w:tr>
      <w:tr>
        <w:trPr>
          <w:cantSplit/>
        </w:trPr>
        <w:tc>
          <w:tcPr>
            <w:tcW w:w="46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Fonts w:ascii="Consolas" w:hAnsi="Consolas" w:cs="Consolas"/>
              </w:rPr>
              <w:t xml:space="preserve">cyber-guardian/</w:t>
            </w:r>
          </w:p>
        </w:tc>
        <w:tc>
          <w:tcPr>
            <w:tcW w:w="530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pPr>
              <w:spacing w:before="0" w:after="0"/>
            </w:pPr>
            <w:r>
              <w:rPr>
                <w:sz w:val="18"/>
              </w:rPr>
              <w:t xml:space="preserve">Separate upstream Strix checkout with its own model context manager and selectable security skills; the desktop wrapper does not invoke it for folder scans</w:t>
            </w:r>
          </w:p>
        </w:tc>
      </w:tr>
    </w:tbl>
    <w:p>
      <w:pPr>
        <w:spacing w:after="20"/>
      </w:pPr>
    </w:p>
    <w:p>
      <w:r>
        <w:t xml:space="preserve">The desktop shell is Python and native PyQt6 widgets; it does not use Qt WebEngine, HTML, or a JavaScript bridge. Qt's widget implementation is native C++. SecAudit does not yet have project-owned C++ or Rust modules. Keep scanning orchestration and provider policies in Python; move a measured hot path or reliability-critical primitive to C++ or Rust only behind a narrow interface, with a Python fallback and parity checks before making it the default.</w:t>
      </w:r>
    </w:p>
    <w:p>
      <w:pPr>
        <w:pStyle w:val="Heading2"/>
      </w:pPr>
      <w:r>
        <w:rPr>
          <w:rFonts w:ascii="Aptos" w:hAnsi="Aptos"/>
          <w:b w:val="0"/>
          <w:color w:val="222222"/>
          <w:sz w:val="21"/>
        </w:rPr>
        <w:t xml:space="preserve">Optional scanner lifecycle</w:t>
      </w:r>
    </w:p>
    <w:p>
      <w:r>
        <w:t xml:space="preserve">The full audit path alone invokes Semgrep and ClamAV; Dev Toolkit Batch Review always reports both as </w:t>
      </w:r>
      <w:r>
        <w:rPr>
          <w:rFonts w:ascii="Consolas" w:hAnsi="Consolas" w:cs="Consolas"/>
        </w:rPr>
        <w:t xml:space="preserve">NOT RUN</w:t>
      </w:r>
      <w:r>
        <w:t xml:space="preserve">. Startup probes run off the UI thread after the window appears and are repeated after 24 hours, an engine-version change, or an engine-level failure. Probe records include the timestamp, duration, engine version, and verdict.</w:t>
      </w:r>
    </w:p>
    <w:p>
      <w:r>
        <w:t xml:space="preserve">Semgrep resolution never uses Python 3.15. It prefers a previously verified configured path, then the known Python 3.12 Scripts location, PATH, and finally </w:t>
      </w:r>
      <w:r>
        <w:rPr>
          <w:rFonts w:ascii="Consolas" w:hAnsi="Consolas" w:cs="Consolas"/>
        </w:rPr>
        <w:t xml:space="preserve">py -3.12 -m semgrep</w:t>
      </w:r>
      <w:r>
        <w:t xml:space="preserve">. A successful </w:t>
      </w:r>
      <w:r>
        <w:rPr>
          <w:rFonts w:ascii="Consolas" w:hAnsi="Consolas" w:cs="Consolas"/>
        </w:rPr>
        <w:t xml:space="preserve">--version</w:t>
      </w:r>
      <w:r>
        <w:t xml:space="preserve"> is insufficient: the engine must detect the expected finding in a generated local fixture. Audit invocations use a fixed argument list, bounded JSON output, two jobs, a fixed timeout, and only the user-confirmed target paths. Offline mode uses the bundled local rules and never resolves a remote pack. Coverage records the rule source, duration and warm-up classification, scanned and skipped paths, engine verification, errors, and fallback state.</w:t>
      </w:r>
    </w:p>
    <w:p>
      <w:r>
        <w:t xml:space="preserve">ClamAV engine verification similarly requires a version response and a successful local custom-signature detection plus clean-fixture scan. Malware checks additionally require an app-managed signature database no older than 72 hours. One-shot scans use bounded file/scan sizes, recursion and file-count limits. The optional warm daemon is owned by the current SecAudit process, binds only to </w:t>
      </w:r>
      <w:r>
        <w:rPr>
          <w:rFonts w:ascii="Consolas" w:hAnsi="Consolas" w:cs="Consolas"/>
        </w:rPr>
        <w:t xml:space="preserve">127.0.0.1</w:t>
      </w:r>
      <w:r>
        <w:t xml:space="preserve">, is never installed as a Windows service, and is disclosed as using about 1–1.5 GB of RAM. Failed daemon startup falls back to one-shot scanning with the reason recorded; graceful close stops the daemon. FreshClam updates are blocked by offline mode, then trigger a daemon reload (restart fallback) and a fresh verification probe. The report compares ClamAV's scanned-file summary with the bounded regular-file intake count; missing summaries, intake limits, or a lower scan count are marked incomplete.</w:t>
      </w:r>
    </w:p>
    <w:p>
      <w:r>
        <w:t xml:space="preserve">Each Semgrep scan process uses its own kill-on-close Windows Job Object. SecAudit itself also uses a kill-on-close Job Object so child tools and descendants are cleaned up if the app is hard-killed. Graceful close requests cancellation and stops children; hard termination is not intercepted. The on-disk scan journal supports recovery and requires the user to confirm the scope again after restart. Closing the window during work does not wait on a modal confirmation; workers receive cancellation and a bounded shutdown period.</w:t>
      </w:r>
    </w:p>
    <w:p>
      <w:r>
        <w:t xml:space="preserve">All nine desktop screens are scrollable. Shared DPI-aware sizing keeps entry controls at least 5 mm high and text outputs, lists, tables, and progress bars at least 16 mm high at the active display scale. Read-only text wraps to the widget width, tables resize rows to their contents, and form fields expand instead of compressing their values into a narrow viewport.</w:t>
      </w:r>
    </w:p>
    <w:p>
      <w:r>
        <w:t xml:space="preserve">The Dev page is a native Qt page with File Trust Evidence, Batch Review, Regex Lab, and Code Wikipedia tabs. Batch Review publishes its bounded result into the Reports window's Dev Toolkit section. Its deterministic core lives under </w:t>
      </w:r>
      <w:r>
        <w:rPr>
          <w:rFonts w:ascii="Consolas" w:hAnsi="Consolas" w:cs="Consolas"/>
        </w:rPr>
        <w:t xml:space="preserve">llm_app/dev_toolkit/</w:t>
      </w:r>
      <w:r>
        <w:t xml:space="preserve">: bounded intake and hashing, YAML rule packs, isolated regex workers, encoded-input classification/decoder evidence, trust/provenance checks, local FTS5-backed CodeWiki storage, graph exporters, and hash-checked evidence packs. Supplied content is read-only and is never executed; quarantine is only described until a separate existing confirmation path is used.</w:t>
      </w:r>
    </w:p>
    <w:p>
      <w:r>
        <w:t xml:space="preserve">Batch Review accepts up to 200 files, at most 4 MiB per file and 64 MiB total. Intake reads in 64 KiB chunks; over-limit files are explicitly skipped. Its findings carry the normalized contract (rule and correlations, line range, behavior, redacted excerpt, parsed command arguments, independent detection/threat certainty, MITRE, nullable validated CWE, severity, and status). Correlation requires the same file, line range, and explicit behavior class; severity is the maximum of merged indicators, and unrelated same-line behaviors remain separate. Rule references are not treated as proof that a CWE applies. The Batch Review text view groups consecutive same-class detections into behavioral blocks with the covered line range and sub-match count. The emitted structured result keeps raw per-line findings and correlation metadata so that grouping does not discard evidence. Windows privilege, registry, and persistence rules have separate IDs and rule-owned categories; compound command separators are parsed before arguments.</w:t>
      </w:r>
    </w:p>
    <w:p>
      <w:r>
        <w:t xml:space="preserve">The Batch Review worker pool is limited to one thread. UI progress is coalesced by file batch, cancellation is checked between files, and report rendering runs off the UI thread. Semgrep and ClamAV are not invoked by this workflow; their coverage is </w:t>
      </w:r>
      <w:r>
        <w:rPr>
          <w:rFonts w:ascii="Consolas" w:hAnsi="Consolas" w:cs="Consolas"/>
        </w:rPr>
        <w:t xml:space="preserve">NOT RUN</w:t>
      </w:r>
      <w:r>
        <w:t xml:space="preserve">, never clean. A local journal preserves scan state for next-launch interruption notice and scope re-confirmation. Windows startup places SecAudit and its subprocess tree in a kill-on-job-close Job Object; graceful close requests cancellation and terminates child processes before exiting. Hard termination cannot be intercepted, so the journal is the recovery mechanism.</w:t>
      </w:r>
    </w:p>
    <w:p>
      <w:pPr>
        <w:pStyle w:val="Heading2"/>
      </w:pPr>
      <w:r>
        <w:rPr>
          <w:rFonts w:ascii="Aptos" w:hAnsi="Aptos"/>
          <w:b w:val="0"/>
          <w:color w:val="222222"/>
          <w:sz w:val="21"/>
        </w:rPr>
        <w:t xml:space="preserve">Security submodels</w:t>
      </w:r>
    </w:p>
    <w:p>
      <w:r>
        <w:t xml:space="preserve">The intended model roles are small and distinct so a new user can understand what is happening:</w:t>
      </w:r>
    </w:p>
    <w:p>
      <w:pPr>
        <w:spacing w:after="60"/>
        <w:ind w:left="360" w:hanging="360"/>
      </w:pPr>
      <w:r>
        <w:t xml:space="preserve">1. </w:t>
      </w:r>
      <w:r>
        <w:rPr>
          <w:b/>
        </w:rPr>
        <w:t xml:space="preserve">Triage:</w:t>
      </w:r>
      <w:r>
        <w:t xml:space="preserve"> group scanner evidence by type and explain confidence and limitations.</w:t>
      </w:r>
    </w:p>
    <w:p>
      <w:pPr>
        <w:spacing w:after="60"/>
        <w:ind w:left="360" w:hanging="360"/>
      </w:pPr>
      <w:r>
        <w:t xml:space="preserve">2. </w:t>
      </w:r>
      <w:r>
        <w:rPr>
          <w:b/>
        </w:rPr>
        <w:t xml:space="preserve">Investigation:</w:t>
      </w:r>
      <w:r>
        <w:t xml:space="preserve"> explain the finding in plain language and identify what evidence supports it.</w:t>
      </w:r>
    </w:p>
    <w:p>
      <w:pPr>
        <w:spacing w:after="60"/>
        <w:ind w:left="360" w:hanging="360"/>
      </w:pPr>
      <w:r>
        <w:t xml:space="preserve">3. </w:t>
      </w:r>
      <w:r>
        <w:rPr>
          <w:b/>
        </w:rPr>
        <w:t xml:space="preserve">Remediation planner:</w:t>
      </w:r>
      <w:r>
        <w:t xml:space="preserve"> draft reversible next steps and note prerequisites.</w:t>
      </w:r>
    </w:p>
    <w:p>
      <w:pPr>
        <w:spacing w:after="60"/>
        <w:ind w:left="360" w:hanging="360"/>
      </w:pPr>
      <w:r>
        <w:t xml:space="preserve">4. </w:t>
      </w:r>
      <w:r>
        <w:rPr>
          <w:b/>
        </w:rPr>
        <w:t xml:space="preserve">Reviewer:</w:t>
      </w:r>
      <w:r>
        <w:t xml:space="preserve"> optionally compare the draft with current public advisories through web search or a cloud model, after the user enables those services.</w:t>
      </w:r>
    </w:p>
    <w:p>
      <w:r>
        <w:t xml:space="preserve">In Local mode, the configured Ollama first-pass model reviews up to 80 supported files. Files with scanner findings or notable model observations can be escalated to a second installed Ollama model. The assistant also routes medium/high requests to that second model when the first-pass classifier requests escalation, confidence is low, or the request tier is not low. Both roles use the same local host, configured context and temperature. Model names are editable and can be pulled or removed from Settings; context and temperature are selected when creating a tuned model profile. The default installed model names are suggestions; the app checks the actual Ollama inventory and reports missing models.</w:t>
      </w:r>
    </w:p>
    <w:p>
      <w:r>
        <w:rPr>
          <w:rFonts w:ascii="Consolas" w:hAnsi="Consolas" w:cs="Consolas"/>
        </w:rPr>
        <w:t xml:space="preserve">llm_app/core/local_model_backend.py</w:t>
      </w:r>
      <w:r>
        <w:t xml:space="preserve"> is the vendor-neutral inference boundary. The desktop backend uses the Ollama HTTP API and does not depend on NVIDIA NIM, NeMo, CUDA, or NVIDIA hardware. Ollama may use an accelerator supported by the host system. The architecture takes the general evidence-stage pattern from the supplied vulnerability-analysis reference, but this app does not implement container extraction, public CVE research, exploit testing, or automatic VEX policy decisions. Findings and model observations remain separate, reviewable evidence. Reports state the selected model roles, completed checks, skipped files, limits, and partial failures.</w:t>
      </w:r>
    </w:p>
    <w:p>
      <w:r>
        <w:t xml:space="preserve">Completed audits are archived locally with bounded finding details so the Assistant can answer questions about a user-selected report. Cloud chat sends that report only after a separate disclosure confirmation. Each audit also adds a redacted aggregate memory record (profile, check status, finding category, and severity counts); full source files and raw excerpts are excluded. Loopback Local model reviews may use these records as weak historical context. The </w:t>
      </w:r>
      <w:r>
        <w:rPr>
          <w:b/>
        </w:rPr>
        <w:t xml:space="preserve">Train</w:t>
      </w:r>
      <w:r>
        <w:t xml:space="preserve"> action aggregates saved memory into a new Ollama system-prompt profile and selects it as the higher-tier reviewer; it does not fine-tune model weights. It is disabled for Cloud mode and non-loopback Ollama hosts. The Memory window supports inspection, forgetting individual records, clearing all learned summaries, or clearing saved reports separately. Retention is bounded to 500 memory records and 100 reports.</w:t>
      </w:r>
    </w:p>
    <w:p>
      <w:r>
        <w:t xml:space="preserve">The Assistant can optionally search public sources when the user enables search for a request. Its details panel lists the models, selected report, and search URLs used for the last answer, along with relevant assumptions and evidence limits. Saved or imported report attachment is opt-in per request. Imported JSON/SARIF, Markdown, and plain-text reports are capped at 2 MiB on disk and 12,000 characters in model context; credential-like values are redacted and the imported content is marked untrusted. Cloud disclosure remains required before an attached imported report is sent.</w:t>
      </w:r>
    </w:p>
    <w:p>
      <w:r>
        <w:t xml:space="preserve">The File review page calculates a bounded SHA-256 digest, identifies common file headers, and checks local Authenticode status for supported Windows formats. It does not run an installer, executable, PowerShell script, batch file, shell script, archive member, or any other selected content. A Python virtual environment is not a security sandbox. The page can add a reviewed file to the explicit New Audit scope, where the available static and malware-signature checks can run under the existing scan confirmation. Hashing stops at 256 MiB; ZIP members are not opened on the File review page. Signature validity is publisher evidence, not a safety verdict.</w:t>
      </w:r>
    </w:p>
    <w:p>
      <w:r>
        <w:t xml:space="preserve">The Network page displays active interface addresses, OS-reported link speed, and upload/download byte-counter rates while the page is open. Optional diagnostics require a click and confirmation, then perform bounded pings to loopback, the detected gateway, and 1.1.1.1 plus a DNS lookup for example.com. They do not change host configuration. ICMP filtering can make ping results inconclusive; the monitor is not a full packet capture, a throughput benchmark, or proof that a connection is safe.</w:t>
      </w:r>
    </w:p>
    <w:p>
      <w:r>
        <w:t xml:space="preserve">Network status and diagnostic work runs in Qt background workers. Windows route, Wi-Fi, ping, and DNS commands use fixed absolute system executable paths, argument arrays, bounded timeouts, redirected input/output, and </w:t>
      </w:r>
      <w:r>
        <w:rPr>
          <w:rFonts w:ascii="Consolas" w:hAnsi="Consolas" w:cs="Consolas"/>
        </w:rPr>
        <w:t xml:space="preserve">CREATE_NO_WINDOW</w:t>
      </w:r>
      <w:r>
        <w:t xml:space="preserve">; no command shell, terminal window, or user-supplied command is involved. The Reports </w:t>
      </w:r>
      <w:r>
        <w:rPr>
          <w:b/>
        </w:rPr>
        <w:t xml:space="preserve">Network</w:t>
      </w:r>
      <w:r>
        <w:t xml:space="preserve"> tab shows a live local snapshot (gateway, Wi-Fi SSID when available, active IPv4 interfaces, reported link speed, byte totals and measured rates) and any explicitly confirmed diagnostic results. This live network view is not appended to exported audit copies or saved scan evidence.</w:t>
      </w:r>
    </w:p>
    <w:p>
      <w:r>
        <w:t xml:space="preserve">Runtime CLI work across the desktop wrapper uses the shared </w:t>
      </w:r>
      <w:r>
        <w:rPr>
          <w:rFonts w:ascii="Consolas" w:hAnsi="Consolas" w:cs="Consolas"/>
        </w:rPr>
        <w:t xml:space="preserve">llm_app/core/processes.py</w:t>
      </w:r>
      <w:r>
        <w:t xml:space="preserve"> helper: commands are argument arrays, shell invocation is rejected, stdin is non-interactive, output is captured instead of appearing in a terminal, and Windows console windows are suppressed. On POSIX systems commands start in a separate process session. Scanning, Semgrep, ClamAV/FreshClam, report provenance, network diagnostics, model management, and scanner warm-up are launched from Qt workers. Bounded commands finish or are stopped at their timeout before the worker returns and the audit report is finalized. The explicitly started Ollama serving daemon is the exception: it is a persistent local model service, started hidden and not owned by a single audit report.</w:t>
      </w:r>
    </w:p>
    <w:p>
      <w:r>
        <w:t xml:space="preserve">Local folder scans inspect supported script and text members inside ZIP archives without extracting them. Archive processing is capped at 2,500 entries, 100 MiB uncompressed content per archive, and 5 MiB per reviewed text member. ClamAV handles virus signatures when installed with current signatures. Windows PE files are checked with the local Authenticode trust API; ZIP-contained executables can be checked for an embedded signature table, but publisher trust is not verified from inside the archive.</w:t>
      </w:r>
    </w:p>
    <w:p>
      <w:r>
        <w:t xml:space="preserve">In Cloud mode, OpenRouter receives bounded evidence directly. The app does not probe or invoke Ollama and does not fall back to local models if the key or request fails. Before a scan sends source excerpts to the cloud, the UI asks for confirmation. The app does not fine-tune model weights. Scanner output and file contents are untrusted input, including instructions embedded in source files; models cannot run commands or alter scan results. User files are not used for training by this app.</w:t>
      </w:r>
    </w:p>
    <w:p>
      <w:pPr>
        <w:pStyle w:val="Heading2"/>
      </w:pPr>
      <w:r>
        <w:rPr>
          <w:rFonts w:ascii="Aptos" w:hAnsi="Aptos"/>
          <w:b w:val="0"/>
          <w:color w:val="222222"/>
          <w:sz w:val="21"/>
        </w:rPr>
        <w:t xml:space="preserve">Scan boundaries</w:t>
      </w:r>
    </w:p>
    <w:p>
      <w:pPr>
        <w:pStyle w:val="ListBullet"/>
        <w:spacing w:after="60"/>
      </w:pPr>
      <w:r>
        <w:t xml:space="preserve">The user selects and confirms up to 20 files or directories for each scan; there is no default project target. Individual files are supported directly.</w:t>
      </w:r>
    </w:p>
    <w:p>
      <w:pPr>
        <w:pStyle w:val="ListBullet"/>
        <w:spacing w:after="60"/>
      </w:pPr>
      <w:r>
        <w:t xml:space="preserve">Audit setup supports general, telemetry, telecom-configuration, and vulnerability-inventory review focuses, plus user-created workflow guidance. The Skills screen explains review stages and lets users create, edit, or remove up to 30 local profiles. These instructions guide bounded model review; they do not change the scanner set, execute commands, or change selected paths. Profiles are stored in the user's app data directory.</w:t>
      </w:r>
    </w:p>
    <w:p>
      <w:pPr>
        <w:pStyle w:val="ListBullet"/>
        <w:spacing w:after="60"/>
      </w:pPr>
      <w:r>
        <w:t xml:space="preserve">Code-pattern checks read selected text formats, skip symlinks, common generated or dependency directories, and files over 5 MiB.</w:t>
      </w:r>
    </w:p>
    <w:p>
      <w:pPr>
        <w:pStyle w:val="ListBullet"/>
        <w:spacing w:after="60"/>
      </w:pPr>
      <w:r>
        <w:t xml:space="preserve">Semgrep, ClamAV, model review, supported-file counts, and skip reasons appear in the report's check-coverage table. An unsupported file type is counted as skipped.</w:t>
      </w:r>
    </w:p>
    <w:p>
      <w:pPr>
        <w:pStyle w:val="ListBullet"/>
        <w:spacing w:after="60"/>
      </w:pPr>
      <w:r>
        <w:t xml:space="preserve">The monitor shows elapsed time, current stage, file coverage, findings, and completed check count. Reports use separate Findings, Checks and coverage, and Details tabs so tables and evidence can use the available window space.</w:t>
      </w:r>
    </w:p>
    <w:p>
      <w:pPr>
        <w:pStyle w:val="ListBullet"/>
        <w:spacing w:after="60"/>
      </w:pPr>
      <w:r>
        <w:t xml:space="preserve">ClamAV runs only when the executable and a recent app-managed signature database are available. Missing or stale signatures are reported as an unavailable check; users can update the app-managed signatures from Settings. The optional loopback daemon loads the database once per app session; one-shot fallback and its reason appear in scan details.</w:t>
      </w:r>
    </w:p>
    <w:p>
      <w:pPr>
        <w:pStyle w:val="ListBullet"/>
        <w:spacing w:after="60"/>
      </w:pPr>
      <w:r>
        <w:t xml:space="preserve">Semgrep and ClamAV are not declared available after a version response alone. Successful local functional probes are required, and startup readiness is shown in Run Monitor and Settings.</w:t>
      </w:r>
    </w:p>
    <w:p>
      <w:pPr>
        <w:pStyle w:val="ListBullet"/>
        <w:spacing w:after="60"/>
      </w:pPr>
      <w:r>
        <w:t xml:space="preserve">The scan is read-only. It does not run or edit target files. A separate, confirmed action can move only a ClamAV-detected regular file into app quarantine; a hash-verified manifest supports restoration and existing files are never overwritten.</w:t>
      </w:r>
    </w:p>
    <w:p>
      <w:pPr>
        <w:pStyle w:val="ListBullet"/>
        <w:spacing w:after="60"/>
      </w:pPr>
      <w:r>
        <w:t xml:space="preserve">A local folder scan is static review, not a penetration test and not a guarantee of malware absence.</w:t>
      </w:r>
    </w:p>
    <w:p>
      <w:pPr>
        <w:pStyle w:val="ListBullet"/>
        <w:spacing w:after="60"/>
      </w:pPr>
      <w:r>
        <w:t xml:space="preserve">Strix dynamic testing is a separate advanced workflow. Before it is enabled, the app must show the exact target and require the user to confirm authorization.</w:t>
      </w:r>
    </w:p>
    <w:p>
      <w:pPr>
        <w:pStyle w:val="ListBullet"/>
        <w:spacing w:after="60"/>
      </w:pPr>
      <w:r>
        <w:t xml:space="preserve">Models review up to 80 file excerpts per folder scan (up to 20,000 characters each, scaled to the configured Ollama context); the report records provider, coverage, and whether the review was partial.</w:t>
      </w:r>
    </w:p>
    <w:p>
      <w:pPr>
        <w:pStyle w:val="ListBullet"/>
        <w:spacing w:after="60"/>
      </w:pPr>
      <w:r>
        <w:t xml:space="preserve">Cloud mode sends evidence only after scan confirmation. Provider failures are shown in scan status and never silently switch providers.</w:t>
      </w:r>
    </w:p>
    <w:p>
      <w:pPr>
        <w:pStyle w:val="ListBullet"/>
        <w:spacing w:after="60"/>
      </w:pPr>
      <w:r>
        <w:t xml:space="preserve">Threat Log triage labels are session-only analyst annotations. They do not modify scanner findings, SARIF output, or target files.</w:t>
      </w:r>
    </w:p>
    <w:p>
      <w:pPr>
        <w:pStyle w:val="ListBullet"/>
        <w:spacing w:after="60"/>
      </w:pPr>
      <w:r>
        <w:t xml:space="preserve">Signed evidence packs contain the saved redacted report and SARIF plus a signed hash-chain ledger. The signing key is encrypted with a user-provided passphrase and remains in local app data. The pack's public key is self-signed; signer identity requires out-of-band fingerprint verification. No external timestamping or compliance-framework mapping is claimed.</w:t>
      </w:r>
    </w:p>
    <w:p>
      <w:pPr>
        <w:pStyle w:val="ListBullet"/>
        <w:spacing w:after="60"/>
      </w:pPr>
      <w:r>
        <w:t xml:space="preserve">Strix report telemetry is disabled by default in the desktop wrapper.</w:t>
      </w:r>
    </w:p>
    <w:p>
      <w:pPr>
        <w:pStyle w:val="Heading2"/>
      </w:pPr>
      <w:r>
        <w:rPr>
          <w:rFonts w:ascii="Aptos" w:hAnsi="Aptos"/>
          <w:b w:val="0"/>
          <w:color w:val="222222"/>
          <w:sz w:val="21"/>
        </w:rPr>
        <w:t xml:space="preserve">Fixed lab tool adapters</w:t>
      </w:r>
    </w:p>
    <w:p>
      <w:r>
        <w:t xml:space="preserve">Tool adapters are explicit, fixed, and optional. Each adapter checks whether its binary exists, shows the exact operation to the user, uses an argument list without a shell, applies time and output limits, and reports a missing tool without failing the whole app. The model cannot select arbitrary programs or construct unrestricted commands.</w:t>
      </w:r>
    </w:p>
    <w:p>
      <w:r>
        <w:t xml:space="preserve">Network-capable adapters must call the lab-scope validator before execution. </w:t>
      </w:r>
      <w:r>
        <w:rPr>
          <w:rFonts w:ascii="Consolas" w:hAnsi="Consolas" w:cs="Consolas"/>
        </w:rPr>
        <w:t xml:space="preserve">lab_targets.txt</w:t>
      </w:r>
      <w:r>
        <w:t xml:space="preserve"> is an allow-list boundary, not a default target list. Invalid or out-of-scope targets are rejected and written to the local rejection log; the UI displays the authorized-lab banner. Current host diagnostics test only loopback and allow-listed lab addresses, never public IPs or DNS.</w:t>
      </w:r>
    </w:p>
    <w:p>
      <w:r>
        <w:t xml:space="preserve">The fixed lab adapters live in </w:t>
      </w:r>
      <w:r>
        <w:rPr>
          <w:rFonts w:ascii="Consolas" w:hAnsi="Consolas" w:cs="Consolas"/>
        </w:rPr>
        <w:t xml:space="preserve">llm_app/core/lab_tool_runner.py</w:t>
      </w:r>
      <w:r>
        <w:t xml:space="preserve">. They resolve the verified executable from </w:t>
      </w:r>
      <w:r>
        <w:rPr>
          <w:rFonts w:ascii="Consolas" w:hAnsi="Consolas" w:cs="Consolas"/>
        </w:rPr>
        <w:t xml:space="preserve">llm_app/core/capabilities.py</w:t>
      </w:r>
      <w:r>
        <w:t xml:space="preserve">, use argument arrays, capture bounded output, stream parsed events to the Network tab, and record timeout/limit/exit status. They are not general shell access and models cannot choose their arguments.</w:t>
      </w:r>
    </w:p>
    <w:p>
      <w:r>
        <w:t xml:space="preserve">The reviewed custom guidance pack under </w:t>
      </w:r>
      <w:r>
        <w:rPr>
          <w:rFonts w:ascii="Consolas" w:hAnsi="Consolas" w:cs="Consolas"/>
        </w:rPr>
        <w:t xml:space="preserve">cyber-guardian/strix/skills/custom</w:t>
      </w:r>
      <w:r>
        <w:t xml:space="preserve"> is bundled as bounded, review-only profiles. It is loaded into the same model-guidance path as the built-in profiles, with an explicit safety wrapper; it cannot add scan targets, select executables, or grant permissions. Duplicate source documents are deduplicated when loaded.</w:t>
      </w:r>
    </w:p>
    <w:p>
      <w:r>
        <w:t xml:space="preserve">Approved lab execution records a redacted JSONL audit event under the app's local settings directory. Records include the fixed command digest, selected permission profile, target, outcome, exit code, and whether the current process was elevated. Secrets are redacted and audit-write failure does not turn a failed or incomplete tool run into success.</w:t>
      </w:r>
    </w:p>
    <w:p>
      <w:r>
        <w:t xml:space="preserve">The separate upstream Strix checkout includes optional agent-facing skills, but folder audits in this Qt app do not load or invoke those documents, agents, or any vendor container. SecAudit has its own bounded review profiles, including static source/trust-boundary analysis, dependency evidence review, counterevidence assessment, and static fix review. These profiles guide interpretation of the confirmed scope and fixed scanner evidence only; they do not execute code, invoke tools, contact targets, or close findings. This keeps the desktop backend usable on ordinary Windows systems with the locally configured Ollama runtime.</w:t>
      </w:r>
    </w:p>
    <w:p>
      <w:r>
        <w:t xml:space="preserve">The Network page is organized into Connected network, Diagnose network, and Tool runner tabs. Diagnostics report bounded local observations, start/end times, TCP/IP counts, DNS configuration counts, adapter signal fields where available, and current/session-average rates without displaying private addresses or peer identities. RSRP/RSRQ are explicitly unavailable when the adapter does not expose cellular metrics.</w:t>
      </w:r>
    </w:p>
    <w:p>
      <w:r>
        <w:t xml:space="preserve">Offline Semgrep runs the reviewed bundled local rules at </w:t>
      </w:r>
      <w:r>
        <w:rPr>
          <w:rFonts w:ascii="Consolas" w:hAnsi="Consolas" w:cs="Consolas"/>
        </w:rPr>
        <w:t xml:space="preserve">llm_app/dev_toolkit/rules/semgrep-local.yml</w:t>
      </w:r>
      <w:r>
        <w:t xml:space="preserve">; online scans may use the remote </w:t>
      </w:r>
      <w:r>
        <w:rPr>
          <w:rFonts w:ascii="Consolas" w:hAnsi="Consolas" w:cs="Consolas"/>
        </w:rPr>
        <w:t xml:space="preserve">p/r2c-security-audit</w:t>
      </w:r>
      <w:r>
        <w:t xml:space="preserve"> pack. No rule-pack download occurs in offline mode.</w:t>
      </w:r>
    </w:p>
    <w:p>
      <w:r>
        <w:t xml:space="preserve">The Code Wikipedia index accepts shell, Windows command, markup, PHP, Rust, C/C++, Java, TypeScript/JavaScript, Python, and other bounded source files. It indexes read-only text and never executes them.</w:t>
      </w:r>
    </w:p>
    <w:p>
      <w:pPr>
        <w:pStyle w:val="Heading1"/>
        <w:pageBreakBefore/>
      </w:pPr>
      <w:r>
        <w:rPr>
          <w:rFonts w:ascii="Aptos" w:hAnsi="Aptos"/>
          <w:b w:val="0"/>
          <w:color w:val="222222"/>
          <w:sz w:val="21"/>
        </w:rPr>
        <w:t xml:space="preserve">Appendix C. Installation</w:t>
      </w:r>
    </w:p>
    <w:p>
      <w:r>
        <w:rPr>
          <w:b/>
        </w:rPr>
        <w:t xml:space="preserve">Updated: 2026-10-29.</w:t>
      </w:r>
      <w:r>
        <w:t xml:space="preserve"> This guide covers the current Windows/Linux setup for the top-level SecAudit application.</w:t>
      </w:r>
    </w:p>
    <w:p>
      <w:r>
        <w:t xml:space="preserve">SecAudit is a Python desktop application. The Windows and Linux setup below installs the application dependencies. Ollama, a local model, and ClamAV are optional services that must be installed separately.</w:t>
      </w:r>
    </w:p>
    <w:p>
      <w:pPr>
        <w:pStyle w:val="Heading2"/>
      </w:pPr>
      <w:r>
        <w:rPr>
          <w:rFonts w:ascii="Aptos" w:hAnsi="Aptos"/>
          <w:b w:val="0"/>
          <w:color w:val="222222"/>
          <w:sz w:val="21"/>
        </w:rPr>
        <w:t xml:space="preserve">Requirements</w:t>
      </w:r>
    </w:p>
    <w:p>
      <w:pPr>
        <w:pStyle w:val="ListBullet"/>
        <w:spacing w:after="60"/>
      </w:pPr>
      <w:r>
        <w:t xml:space="preserve">Python 3.11 or newer for the application; Python 3.12 is required for the pinned Windows Semgrep installation</w:t>
      </w:r>
    </w:p>
    <w:p>
      <w:pPr>
        <w:pStyle w:val="ListBullet"/>
        <w:spacing w:after="60"/>
      </w:pPr>
      <w:r>
        <w:t xml:space="preserve">A desktop session supported by PyQt6 (the interface uses native Qt widgets)</w:t>
      </w:r>
    </w:p>
    <w:p>
      <w:pPr>
        <w:pStyle w:val="ListBullet"/>
        <w:spacing w:after="60"/>
      </w:pPr>
      <w:r>
        <w:t xml:space="preserve">Ollama and at least one installed local chat model</w:t>
      </w:r>
    </w:p>
    <w:p>
      <w:pPr>
        <w:pStyle w:val="ListBullet"/>
        <w:spacing w:after="60"/>
      </w:pPr>
      <w:r>
        <w:t xml:space="preserve">A second installed local Ollama model for medium/high escalation (optional)</w:t>
      </w:r>
    </w:p>
    <w:p>
      <w:pPr>
        <w:pStyle w:val="ListBullet"/>
        <w:spacing w:after="60"/>
      </w:pPr>
      <w:r>
        <w:t xml:space="preserve">ClamAV (</w:t>
      </w:r>
      <w:r>
        <w:rPr>
          <w:rFonts w:ascii="Consolas" w:hAnsi="Consolas" w:cs="Consolas"/>
        </w:rPr>
        <w:t xml:space="preserve">clamscan</w:t>
      </w:r>
      <w:r>
        <w:t xml:space="preserve">) for malware signature checks</w:t>
      </w:r>
    </w:p>
    <w:p>
      <w:pPr>
        <w:pStyle w:val="ListBullet"/>
        <w:spacing w:after="60"/>
      </w:pPr>
      <w:r>
        <w:t xml:space="preserve">Semgrep 1.182.1 for local SAST; on Windows, install and run it only with Python 3.12</w:t>
      </w:r>
    </w:p>
    <w:p>
      <w:r>
        <w:t xml:space="preserve">The app checks which local models are installed. If a saved model is missing, it selects an installed model for the current session and tells you which one it chose; save Settings to keep that selection. Without Ollama or an installed model, deterministic checks still run and AI review is marked incomplete. Without Semgrep or ClamAV signatures, those checks are marked unavailable, never clean. Semgrep becomes available only after both its version check and a real scan of a bundled-rule fixture succeed. ClamAV becomes engine-verified only after a local custom-signature detection and clean-fixture probe; a recent app-managed signature database is also required for an audit.</w:t>
      </w:r>
    </w:p>
    <w:p>
      <w:r>
        <w:t xml:space="preserve">The Dev → Batch Review workflow is standalone local static analysis. It processes at most 200 files, 4 MiB per file, and 64 MiB total, reading file data in 64 KiB chunks. Over-limit files are explicitly skipped. Semgrep and ClamAV are not run in Batch Review; the report labels both </w:t>
      </w:r>
      <w:r>
        <w:rPr>
          <w:rFonts w:ascii="Consolas" w:hAnsi="Consolas" w:cs="Consolas"/>
        </w:rPr>
        <w:t xml:space="preserve">NOT RUN</w:t>
      </w:r>
      <w:r>
        <w:t xml:space="preserve">.</w:t>
      </w:r>
    </w:p>
    <w:p>
      <w:pPr>
        <w:pStyle w:val="Heading2"/>
      </w:pPr>
      <w:r>
        <w:rPr>
          <w:rFonts w:ascii="Aptos" w:hAnsi="Aptos"/>
          <w:b w:val="0"/>
          <w:color w:val="222222"/>
          <w:sz w:val="21"/>
        </w:rPr>
        <w:t xml:space="preserve">Windows</w:t>
      </w:r>
    </w:p>
    <w:p>
      <w:r>
        <w:t xml:space="preserve">Open PowerShell in the repository root:</w:t>
      </w:r>
    </w:p>
    <w:p>
      <w:pPr>
        <w:shd w:val="clear" w:color="auto" w:fill="F2F2F2"/>
        <w:spacing w:before="0" w:after="0" w:line="240" w:lineRule="auto"/>
        <w:ind w:left="120"/>
      </w:pPr>
      <w:r>
        <w:rPr>
          <w:rFonts w:ascii="Consolas" w:hAnsi="Consolas" w:cs="Consolas"/>
          <w:sz w:val="16"/>
        </w:rPr>
        <w:t xml:space="preserve">py -3.12 -m venv .venv</w:t>
      </w:r>
    </w:p>
    <w:p>
      <w:pPr>
        <w:shd w:val="clear" w:color="auto" w:fill="F2F2F2"/>
        <w:spacing w:before="0" w:after="0" w:line="240" w:lineRule="auto"/>
        <w:ind w:left="120"/>
      </w:pPr>
      <w:r>
        <w:rPr>
          <w:rFonts w:ascii="Consolas" w:hAnsi="Consolas" w:cs="Consolas"/>
          <w:sz w:val="16"/>
        </w:rPr>
        <w:t xml:space="preserve">.\.venv\Scripts\Activate.ps1</w:t>
      </w:r>
    </w:p>
    <w:p>
      <w:pPr>
        <w:shd w:val="clear" w:color="auto" w:fill="F2F2F2"/>
        <w:spacing w:before="0" w:after="0" w:line="240" w:lineRule="auto"/>
        <w:ind w:left="120"/>
      </w:pPr>
      <w:r>
        <w:rPr>
          <w:rFonts w:ascii="Consolas" w:hAnsi="Consolas" w:cs="Consolas"/>
          <w:sz w:val="16"/>
        </w:rPr>
        <w:t xml:space="preserve">python -m pip install --upgrade pip</w:t>
      </w:r>
    </w:p>
    <w:p>
      <w:pPr>
        <w:shd w:val="clear" w:color="auto" w:fill="F2F2F2"/>
        <w:spacing w:before="0" w:after="0" w:line="240" w:lineRule="auto"/>
        <w:ind w:left="120"/>
      </w:pPr>
      <w:r>
        <w:rPr>
          <w:rFonts w:ascii="Consolas" w:hAnsi="Consolas" w:cs="Consolas"/>
          <w:sz w:val="16"/>
        </w:rPr>
        <w:t xml:space="preserve">pip install -r llm_app/requirements.txt</w:t>
      </w:r>
    </w:p>
    <w:p>
      <w:pPr>
        <w:shd w:val="clear" w:color="auto" w:fill="F2F2F2"/>
        <w:spacing w:before="0" w:after="0" w:line="240" w:lineRule="auto"/>
        <w:ind w:left="120"/>
      </w:pPr>
      <w:r>
        <w:rPr>
          <w:rFonts w:ascii="Consolas" w:hAnsi="Consolas" w:cs="Consolas"/>
          <w:sz w:val="16"/>
        </w:rPr>
        <w:t xml:space="preserve">py -3.12 -m pip install --user semgrep==1.182.1</w:t>
      </w:r>
    </w:p>
    <w:p>
      <w:pPr>
        <w:shd w:val="clear" w:color="auto" w:fill="F2F2F2"/>
        <w:spacing w:before="0" w:after="0" w:line="240" w:lineRule="auto"/>
        <w:ind w:left="120"/>
      </w:pPr>
      <w:r>
        <w:rPr>
          <w:rFonts w:ascii="Consolas" w:hAnsi="Consolas" w:cs="Consolas"/>
          <w:sz w:val="16"/>
        </w:rPr>
        <w:t xml:space="preserve">ollama pull qwen2.5:3b</w:t>
      </w:r>
    </w:p>
    <w:p>
      <w:pPr>
        <w:shd w:val="clear" w:color="auto" w:fill="F2F2F2"/>
        <w:spacing w:before="0" w:after="0" w:line="240" w:lineRule="auto"/>
        <w:ind w:left="120"/>
      </w:pPr>
      <w:r>
        <w:rPr>
          <w:rFonts w:ascii="Consolas" w:hAnsi="Consolas" w:cs="Consolas"/>
          <w:sz w:val="16"/>
        </w:rPr>
        <w:t xml:space="preserve">ollama pull qwen3:14b</w:t>
      </w:r>
    </w:p>
    <w:p>
      <w:pPr>
        <w:shd w:val="clear" w:color="auto" w:fill="F2F2F2"/>
        <w:spacing w:before="0" w:after="0" w:line="240" w:lineRule="auto"/>
        <w:ind w:left="120"/>
      </w:pPr>
      <w:r>
        <w:rPr>
          <w:rFonts w:ascii="Consolas" w:hAnsi="Consolas" w:cs="Consolas"/>
          <w:sz w:val="16"/>
        </w:rPr>
        <w:t xml:space="preserve">python -m llm_app.main</w:t>
      </w:r>
    </w:p>
    <w:p>
      <w:pPr>
        <w:spacing w:after="60"/>
      </w:pPr>
    </w:p>
    <w:p>
      <w:r>
        <w:t xml:space="preserve">The app's startup probes run in background workers after the window appears. Run Monitor and Settings show the last persisted Semgrep and ClamAV status. Probe results expire after 24 hours or when an engine version changes. A version-only response does not make a scanner available.</w:t>
      </w:r>
    </w:p>
    <w:p>
      <w:r>
        <w:t xml:space="preserve">Open </w:t>
      </w:r>
      <w:r>
        <w:rPr>
          <w:b/>
        </w:rPr>
        <w:t xml:space="preserve">Settings → Local model management</w:t>
      </w:r>
      <w:r>
        <w:t xml:space="preserve">, refresh the installed model list, then choose the first-pass and medium/high local models. The assistant also has a model selector and saves chat history locally. Pull, delete, and tune operations target the configured Ollama host; deleting a model requires confirmation.</w:t>
      </w:r>
    </w:p>
    <w:p>
      <w:r>
        <w:t xml:space="preserve">The </w:t>
      </w:r>
      <w:r>
        <w:rPr>
          <w:b/>
        </w:rPr>
        <w:t xml:space="preserve">Skills</w:t>
      </w:r>
      <w:r>
        <w:t xml:space="preserve"> screen describes the audit stages and the purpose of each built-in review profile. Use </w:t>
      </w:r>
      <w:r>
        <w:rPr>
          <w:b/>
        </w:rPr>
        <w:t xml:space="preserve">Create skill</w:t>
      </w:r>
      <w:r>
        <w:t xml:space="preserve"> to save up to 30 of your own plain-language review workflows on this device, then select one in </w:t>
      </w:r>
      <w:r>
        <w:rPr>
          <w:b/>
        </w:rPr>
        <w:t xml:space="preserve">New Audit</w:t>
      </w:r>
      <w:r>
        <w:t xml:space="preserve">. Custom profiles are model guidance only; they do not add scan targets, run commands, or change which scanner checks are available. The </w:t>
      </w:r>
      <w:r>
        <w:rPr>
          <w:b/>
        </w:rPr>
        <w:t xml:space="preserve">About</w:t>
      </w:r>
      <w:r>
        <w:t xml:space="preserve"> screen links to the Strix, Ollama, Semgrep, PyQt6, and optional OpenRouter projects.</w:t>
      </w:r>
    </w:p>
    <w:p>
      <w:r>
        <w:rPr>
          <w:b/>
        </w:rPr>
        <w:t xml:space="preserve">File review</w:t>
      </w:r>
      <w:r>
        <w:t xml:space="preserve"> provides a bounded SHA-256 digest, file-type hints, and offline Authenticode status where supported. It never runs the selected file. Add a file to the explicitly reviewed New Audit scope to use available static checks and optional ClamAV. A Python venv is not an execution sandbox, so unknown </w:t>
      </w:r>
      <w:r>
        <w:rPr>
          <w:rFonts w:ascii="Consolas" w:hAnsi="Consolas" w:cs="Consolas"/>
        </w:rPr>
        <w:t xml:space="preserve">.exe</w:t>
      </w:r>
      <w:r>
        <w:t xml:space="preserve">, </w:t>
      </w:r>
      <w:r>
        <w:rPr>
          <w:rFonts w:ascii="Consolas" w:hAnsi="Consolas" w:cs="Consolas"/>
        </w:rPr>
        <w:t xml:space="preserve">.ps1</w:t>
      </w:r>
      <w:r>
        <w:t xml:space="preserve">, </w:t>
      </w:r>
      <w:r>
        <w:rPr>
          <w:rFonts w:ascii="Consolas" w:hAnsi="Consolas" w:cs="Consolas"/>
        </w:rPr>
        <w:t xml:space="preserve">.bat</w:t>
      </w:r>
      <w:r>
        <w:t xml:space="preserve">, </w:t>
      </w:r>
      <w:r>
        <w:rPr>
          <w:rFonts w:ascii="Consolas" w:hAnsi="Consolas" w:cs="Consolas"/>
        </w:rPr>
        <w:t xml:space="preserve">.cmd</w:t>
      </w:r>
      <w:r>
        <w:t xml:space="preserve">, and </w:t>
      </w:r>
      <w:r>
        <w:rPr>
          <w:rFonts w:ascii="Consolas" w:hAnsi="Consolas" w:cs="Consolas"/>
        </w:rPr>
        <w:t xml:space="preserve">.sh</w:t>
      </w:r>
      <w:r>
        <w:t xml:space="preserve"> files are not launched by the app.</w:t>
      </w:r>
    </w:p>
    <w:p>
      <w:r>
        <w:rPr>
          <w:b/>
        </w:rPr>
        <w:t xml:space="preserve">Network</w:t>
      </w:r>
      <w:r>
        <w:t xml:space="preserve"> shows active interface addresses and measured upload/download byte rates while the page is open. The optional diagnostics are read-only and run only after confirmation: local-stack, gateway, public-IP ping, and DNS checks. They do not reset Winsock/IP, renew DHCP leases, change firewall settings, or run elevated commands. Network collection runs in background workers; Windows system commands use hidden, bounded, fixed-argument processes and do not open a console window. The </w:t>
      </w:r>
      <w:r>
        <w:rPr>
          <w:b/>
        </w:rPr>
        <w:t xml:space="preserve">Reports → Network</w:t>
      </w:r>
      <w:r>
        <w:t xml:space="preserve"> tab displays a live local network snapshot and any confirmed diagnostic results. Network data is not added to exported audit copies.</w:t>
      </w:r>
    </w:p>
    <w:p>
      <w:r>
        <w:t xml:space="preserve">Audit and maintenance CLI tools also run in background workers without opening a terminal window. Their output is captured by the app rather than written into a terminal; POSIX commands start in a separate process session. Bounded subprocesses stop at their configured timeout, and scans finalize the report after those checks return. The local Ollama server is a persistent background service and remains available beyond one audit run.</w:t>
      </w:r>
    </w:p>
    <w:p>
      <w:r>
        <w:t xml:space="preserve">The Assistant can attach a saved audit report to a question. In Cloud mode, the app asks before sending that report context. Each scan automatically saves a redacted summary in </w:t>
      </w:r>
      <w:r>
        <w:rPr>
          <w:b/>
        </w:rPr>
        <w:t xml:space="preserve">Memory</w:t>
      </w:r>
      <w:r>
        <w:t xml:space="preserve"> for future Local reviews; raw source files and excerpts are not part of learned memory. The </w:t>
      </w:r>
      <w:r>
        <w:rPr>
          <w:b/>
        </w:rPr>
        <w:t xml:space="preserve">Train</w:t>
      </w:r>
      <w:r>
        <w:t xml:space="preserve"> button creates an Ollama profile from aggregate memory and selects it for medium/high local review. It does not update model weights and works only with Local selected and a loopback Ollama host. You can remove selected memories, clear all summaries, or clear saved reports separately.</w:t>
      </w:r>
    </w:p>
    <w:p>
      <w:r>
        <w:t xml:space="preserve">The Assistant can also import a local JSON, SARIF, Markdown, or text report and optionally attach it to a chat question. Imported context is capped, credential-like values are redacted, and Cloud mode asks before sending it. This imported report is temporary and is not added to the saved audit archive.</w:t>
      </w:r>
    </w:p>
    <w:p>
      <w:r>
        <w:rPr>
          <w:b/>
        </w:rPr>
        <w:t xml:space="preserve">App-level offline mode</w:t>
      </w:r>
      <w:r>
        <w:t xml:space="preserve"> is available in </w:t>
      </w:r>
      <w:r>
        <w:rPr>
          <w:b/>
        </w:rPr>
        <w:t xml:space="preserve">Settings → Enable app-level offline mode</w:t>
      </w:r>
      <w:r>
        <w:t xml:space="preserve">. Save Settings to persist the choice. It blocks Cloud requests, public search, non-loopback Ollama hosts, remote Semgrep rule-pack resolution, model pulls, and ClamAV signature downloads. Offline scans can still use local pattern checks, available local ClamAV signatures, and loopback Ollama models. Confirmed network diagnostics then test loopback only. This application policy is not an OS firewall: other processes, host services, and operating-system traffic may still use the network. Use Windows Firewall or equivalent network controls when a true egress restriction is required.</w:t>
      </w:r>
    </w:p>
    <w:p>
      <w:r>
        <w:rPr>
          <w:b/>
        </w:rPr>
        <w:t xml:space="preserve">Enterprise → Verify latest fix</w:t>
      </w:r>
      <w:r>
        <w:t xml:space="preserve"> re-runs static checks in a worker on the exact scope captured with the prior findings. It does not call a model or resolve the remote Semgrep ruleset. The result says </w:t>
      </w:r>
      <w:r>
        <w:rPr>
          <w:rFonts w:ascii="Consolas" w:hAnsi="Consolas" w:cs="Consolas"/>
        </w:rPr>
        <w:t xml:space="preserve">still detected</w:t>
      </w:r>
      <w:r>
        <w:t xml:space="preserve">, </w:t>
      </w:r>
      <w:r>
        <w:rPr>
          <w:rFonts w:ascii="Consolas" w:hAnsi="Consolas" w:cs="Consolas"/>
        </w:rPr>
        <w:t xml:space="preserve">not reproduced in static re-check</w:t>
      </w:r>
      <w:r>
        <w:t xml:space="preserve">, or </w:t>
      </w:r>
      <w:r>
        <w:rPr>
          <w:rFonts w:ascii="Consolas" w:hAnsi="Consolas" w:cs="Consolas"/>
        </w:rPr>
        <w:t xml:space="preserve">inconclusive</w:t>
      </w:r>
      <w:r>
        <w:t xml:space="preserve">; none of these statuses proves that software is safe or that a vulnerability is exploitable.</w:t>
      </w:r>
    </w:p>
    <w:p>
      <w:r>
        <w:rPr>
          <w:b/>
        </w:rPr>
        <w:t xml:space="preserve">Reports → Export signed evidence pack</w:t>
      </w:r>
      <w:r>
        <w:t xml:space="preserve"> creates a ZIP from the latest redacted saved report and its SARIF view, appending a locally signed hash-chain entry. On first use, choose a passphrase for the encrypted local Ed25519 key; later exports require it to unlock that key. Back up the key and remember the passphrase—if the key is lost while its chain exists, SecAudit refuses to silently replace it. </w:t>
      </w:r>
      <w:r>
        <w:rPr>
          <w:b/>
        </w:rPr>
        <w:t xml:space="preserve">Verify evidence pack</w:t>
      </w:r>
      <w:r>
        <w:t xml:space="preserve"> checks the signature, content hashes, and included chain. Because the public key in the pack is self-signed, verify its fingerprint separately before trusting signer identity. The pack does not provide external timestamping, compliance-framework mapping, or SOC 2/ISO certification.</w:t>
      </w:r>
    </w:p>
    <w:p>
      <w:r>
        <w:t xml:space="preserve">Enterprise offline update bundles can be created and their manifest/signature integrity checked. The verifier does not install or apply the bundle and the embedded public key does not establish signer identity. Stage and authenticate updates using your organization's trusted offline distribution process.</w:t>
      </w:r>
    </w:p>
    <w:p>
      <w:r>
        <w:t xml:space="preserve">If PowerShell blocks virtual-environment activation, run the interpreter directly:</w:t>
      </w:r>
    </w:p>
    <w:p>
      <w:pPr>
        <w:shd w:val="clear" w:color="auto" w:fill="F2F2F2"/>
        <w:spacing w:before="0" w:after="0" w:line="240" w:lineRule="auto"/>
        <w:ind w:left="120"/>
      </w:pPr>
      <w:r>
        <w:rPr>
          <w:rFonts w:ascii="Consolas" w:hAnsi="Consolas" w:cs="Consolas"/>
          <w:sz w:val="16"/>
        </w:rPr>
        <w:t xml:space="preserve">.\.venv\Scripts\python.exe -m pip install -r llm_app/requirements.txt</w:t>
      </w:r>
    </w:p>
    <w:p>
      <w:pPr>
        <w:shd w:val="clear" w:color="auto" w:fill="F2F2F2"/>
        <w:spacing w:before="0" w:after="0" w:line="240" w:lineRule="auto"/>
        <w:ind w:left="120"/>
      </w:pPr>
      <w:r>
        <w:rPr>
          <w:rFonts w:ascii="Consolas" w:hAnsi="Consolas" w:cs="Consolas"/>
          <w:sz w:val="16"/>
        </w:rPr>
        <w:t xml:space="preserve">.\.venv\Scripts\python.exe -m llm_app.main</w:t>
      </w:r>
    </w:p>
    <w:p>
      <w:pPr>
        <w:spacing w:after="60"/>
      </w:pPr>
    </w:p>
    <w:p>
      <w:r>
        <w:t xml:space="preserve">To build the Windows desktop application, run </w:t>
      </w:r>
      <w:r>
        <w:rPr>
          <w:rFonts w:ascii="Consolas" w:hAnsi="Consolas" w:cs="Consolas"/>
        </w:rPr>
        <w:t xml:space="preserve">.\scripts\build_windows.ps1</w:t>
      </w:r>
      <w:r>
        <w:t xml:space="preserve"> from the repository root. The script creates a local build environment and writes the executable to </w:t>
      </w:r>
      <w:r>
        <w:rPr>
          <w:rFonts w:ascii="Consolas" w:hAnsi="Consolas" w:cs="Consolas"/>
        </w:rPr>
        <w:t xml:space="preserve">dist\SecAudit\SecAudit.exe</w:t>
      </w:r>
      <w:r>
        <w:t xml:space="preserve">. Distribute the complete </w:t>
      </w:r>
      <w:r>
        <w:rPr>
          <w:rFonts w:ascii="Consolas" w:hAnsi="Consolas" w:cs="Consolas"/>
        </w:rPr>
        <w:t xml:space="preserve">dist\SecAudit</w:t>
      </w:r>
      <w:r>
        <w:t xml:space="preserve"> folder. New user settings and local model files are stored under </w:t>
      </w:r>
      <w:r>
        <w:rPr>
          <w:rFonts w:ascii="Consolas" w:hAnsi="Consolas" w:cs="Consolas"/>
        </w:rPr>
        <w:t xml:space="preserve">%LOCALAPPDATA%\SecAudit</w:t>
      </w:r>
      <w:r>
        <w:t xml:space="preserve">. If a prior </w:t>
      </w:r>
      <w:r>
        <w:rPr>
          <w:rFonts w:ascii="Consolas" w:hAnsi="Consolas" w:cs="Consolas"/>
        </w:rPr>
        <w:t xml:space="preserve">%LOCALAPPDATA%\CyberGuardian</w:t>
      </w:r>
      <w:r>
        <w:t xml:space="preserve"> or Linux </w:t>
      </w:r>
      <w:r>
        <w:rPr>
          <w:rFonts w:ascii="Consolas" w:hAnsi="Consolas" w:cs="Consolas"/>
        </w:rPr>
        <w:t xml:space="preserve">cyber-guardian</w:t>
      </w:r>
      <w:r>
        <w:t xml:space="preserve"> data directory exists and no SecAudit data directory exists, the app continues to use the existing directory in place; it does not move or delete user data during the rename.</w:t>
      </w:r>
    </w:p>
    <w:p>
      <w:pPr>
        <w:pStyle w:val="Heading2"/>
      </w:pPr>
      <w:r>
        <w:rPr>
          <w:rFonts w:ascii="Aptos" w:hAnsi="Aptos"/>
          <w:b w:val="0"/>
          <w:color w:val="222222"/>
          <w:sz w:val="21"/>
        </w:rPr>
        <w:t xml:space="preserve">Linux</w:t>
      </w:r>
    </w:p>
    <w:p>
      <w:pPr>
        <w:shd w:val="clear" w:color="auto" w:fill="F2F2F2"/>
        <w:spacing w:before="0" w:after="0" w:line="240" w:lineRule="auto"/>
        <w:ind w:left="120"/>
      </w:pPr>
      <w:r>
        <w:rPr>
          <w:rFonts w:ascii="Consolas" w:hAnsi="Consolas" w:cs="Consolas"/>
          <w:sz w:val="16"/>
        </w:rPr>
        <w:t xml:space="preserve">python3 -m venv .venv</w:t>
      </w:r>
    </w:p>
    <w:p>
      <w:pPr>
        <w:shd w:val="clear" w:color="auto" w:fill="F2F2F2"/>
        <w:spacing w:before="0" w:after="0" w:line="240" w:lineRule="auto"/>
        <w:ind w:left="120"/>
      </w:pPr>
      <w:r>
        <w:rPr>
          <w:rFonts w:ascii="Consolas" w:hAnsi="Consolas" w:cs="Consolas"/>
          <w:sz w:val="16"/>
        </w:rPr>
        <w:t xml:space="preserve">source .venv/bin/activate</w:t>
      </w:r>
    </w:p>
    <w:p>
      <w:pPr>
        <w:shd w:val="clear" w:color="auto" w:fill="F2F2F2"/>
        <w:spacing w:before="0" w:after="0" w:line="240" w:lineRule="auto"/>
        <w:ind w:left="120"/>
      </w:pPr>
      <w:r>
        <w:rPr>
          <w:rFonts w:ascii="Consolas" w:hAnsi="Consolas" w:cs="Consolas"/>
          <w:sz w:val="16"/>
        </w:rPr>
        <w:t xml:space="preserve">python -m pip install --upgrade pip</w:t>
      </w:r>
    </w:p>
    <w:p>
      <w:pPr>
        <w:shd w:val="clear" w:color="auto" w:fill="F2F2F2"/>
        <w:spacing w:before="0" w:after="0" w:line="240" w:lineRule="auto"/>
        <w:ind w:left="120"/>
      </w:pPr>
      <w:r>
        <w:rPr>
          <w:rFonts w:ascii="Consolas" w:hAnsi="Consolas" w:cs="Consolas"/>
          <w:sz w:val="16"/>
        </w:rPr>
        <w:t xml:space="preserve">pip install -r llm_app/requirements.txt</w:t>
      </w:r>
    </w:p>
    <w:p>
      <w:pPr>
        <w:shd w:val="clear" w:color="auto" w:fill="F2F2F2"/>
        <w:spacing w:before="0" w:after="0" w:line="240" w:lineRule="auto"/>
        <w:ind w:left="120"/>
      </w:pPr>
      <w:r>
        <w:rPr>
          <w:rFonts w:ascii="Consolas" w:hAnsi="Consolas" w:cs="Consolas"/>
          <w:sz w:val="16"/>
        </w:rPr>
        <w:t xml:space="preserve">ollama pull qwen2.5:3b</w:t>
      </w:r>
    </w:p>
    <w:p>
      <w:pPr>
        <w:shd w:val="clear" w:color="auto" w:fill="F2F2F2"/>
        <w:spacing w:before="0" w:after="0" w:line="240" w:lineRule="auto"/>
        <w:ind w:left="120"/>
      </w:pPr>
      <w:r>
        <w:rPr>
          <w:rFonts w:ascii="Consolas" w:hAnsi="Consolas" w:cs="Consolas"/>
          <w:sz w:val="16"/>
        </w:rPr>
        <w:t xml:space="preserve">python -m llm_app.main</w:t>
      </w:r>
    </w:p>
    <w:p>
      <w:pPr>
        <w:spacing w:after="60"/>
      </w:pPr>
    </w:p>
    <w:p>
      <w:r>
        <w:t xml:space="preserve">Start Ollama using the method provided by your installation. If the model is not available, the app will say so when an AI explanation is requested.</w:t>
      </w:r>
    </w:p>
    <w:p>
      <w:pPr>
        <w:pStyle w:val="Heading2"/>
      </w:pPr>
      <w:r>
        <w:rPr>
          <w:rFonts w:ascii="Aptos" w:hAnsi="Aptos"/>
          <w:b w:val="0"/>
          <w:color w:val="222222"/>
          <w:sz w:val="21"/>
        </w:rPr>
        <w:t xml:space="preserve">Optional cloud model</w:t>
      </w:r>
    </w:p>
    <w:p>
      <w:r>
        <w:t xml:space="preserve">Select </w:t>
      </w:r>
      <w:r>
        <w:rPr>
          <w:b/>
        </w:rPr>
        <w:t xml:space="preserve">Cloud only · OpenRouter</w:t>
      </w:r>
      <w:r>
        <w:t xml:space="preserve"> and add an API key in Settings. Cloud chat uses OpenRouter directly. Before a scan sends bounded source excerpts and scanner evidence, the app asks for confirmation. Local models are not probed or used in Cloud mode, even if the cloud key/request fails. Keep Local selected for on-device model review. Do not store a real key in a tracked file.</w:t>
      </w:r>
    </w:p>
    <w:p>
      <w:pPr>
        <w:pStyle w:val="Heading2"/>
      </w:pPr>
      <w:r>
        <w:rPr>
          <w:rFonts w:ascii="Aptos" w:hAnsi="Aptos"/>
          <w:b w:val="0"/>
          <w:color w:val="222222"/>
          <w:sz w:val="21"/>
        </w:rPr>
        <w:t xml:space="preserve">Optional ClamAV</w:t>
      </w:r>
    </w:p>
    <w:p>
      <w:r>
        <w:t xml:space="preserve">Install ClamAV using its official instructions for your operating system, then update its signature database. On Windows, SecAudit keeps signatures in its app-managed database and updates them through the Settings action using a fixed FreshClam executable and argument list. App-level offline mode blocks this download. Every scan records the engine version, database build and age, scan mode, duration, coverage counts, and any daemon fallback reason. Malware scanning is unavailable when signatures are missing or older than 72 hours. ClamAV receives only confirmed target paths; the app does not invoke a shell or run files from the target.</w:t>
      </w:r>
    </w:p>
    <w:p>
      <w:r>
        <w:t xml:space="preserve">Settings can keep a ClamAV daemon warm for the current app session. It binds only to 127.0.0.1, is not installed as a Windows service, and uses approximately 1–1.5 GB of RAM. The default is enabled on machines with at least 8 GB of memory and disabled below that threshold. If daemon startup fails, the scan falls back to one-shot mode and records the reason. Closing SecAudit stops the daemon.</w:t>
      </w:r>
    </w:p>
    <w:p>
      <w:r>
        <w:t xml:space="preserve">The Windows </w:t>
      </w:r>
      <w:r>
        <w:rPr>
          <w:rFonts w:ascii="Consolas" w:hAnsi="Consolas" w:cs="Consolas"/>
        </w:rPr>
        <w:t xml:space="preserve">scripts/setup_tools.ps1</w:t>
      </w:r>
      <w:r>
        <w:t xml:space="preserve"> setup installs pinned Semgrep with </w:t>
      </w:r>
      <w:r>
        <w:rPr>
          <w:rFonts w:ascii="Consolas" w:hAnsi="Consolas" w:cs="Consolas"/>
        </w:rPr>
        <w:t xml:space="preserve">py -3.12</w:t>
      </w:r>
      <w:r>
        <w:t xml:space="preserve">, unblocks and compile-checks its package, and runs two static fixture scans while logging cold/warm durations. It prefetches the online ruleset only when app-level offline mode is not set. </w:t>
      </w:r>
      <w:r>
        <w:rPr>
          <w:rFonts w:ascii="Consolas" w:hAnsi="Consolas" w:cs="Consolas"/>
        </w:rPr>
        <w:t xml:space="preserve">scripts/prepare_authorized_lab_host.ps1</w:t>
      </w:r>
      <w:r>
        <w:t xml:space="preserve"> is an elevated, lab-only helper that applies scanner-specific Defender exclusions; it excludes no scan targets. Review its effects before running it because any Defender exclusion reduces protection for the excluded scanner files and local data.</w:t>
      </w:r>
    </w:p>
    <w:p>
      <w:pPr>
        <w:pStyle w:val="Heading2"/>
      </w:pPr>
      <w:r>
        <w:rPr>
          <w:rFonts w:ascii="Aptos" w:hAnsi="Aptos"/>
          <w:b w:val="0"/>
          <w:color w:val="222222"/>
          <w:sz w:val="21"/>
        </w:rPr>
        <w:t xml:space="preserve">Launcher scripts</w:t>
      </w:r>
    </w:p>
    <w:p>
      <w:r>
        <w:t xml:space="preserve">The shell scripts under </w:t>
      </w:r>
      <w:r>
        <w:rPr>
          <w:rFonts w:ascii="Consolas" w:hAnsi="Consolas" w:cs="Consolas"/>
        </w:rPr>
        <w:t xml:space="preserve">scripts/</w:t>
      </w:r>
      <w:r>
        <w:t xml:space="preserve"> are for Linux and compatible shells. On Windows, use the PowerShell commands above.</w:t>
      </w:r>
    </w:p>
    <w:p>
      <w:pPr>
        <w:pStyle w:val="Heading2"/>
      </w:pPr>
      <w:r>
        <w:rPr>
          <w:rFonts w:ascii="Aptos" w:hAnsi="Aptos"/>
          <w:b w:val="0"/>
          <w:color w:val="222222"/>
          <w:sz w:val="21"/>
        </w:rPr>
        <w:t xml:space="preserve">Troubleshooting</w:t>
      </w:r>
    </w:p>
    <w:p>
      <w:pPr>
        <w:pStyle w:val="ListBullet"/>
        <w:spacing w:after="60"/>
      </w:pPr>
      <w:r>
        <w:rPr>
          <w:b/>
        </w:rPr>
        <w:t xml:space="preserve">Qt import error:</w:t>
      </w:r>
      <w:r>
        <w:t xml:space="preserve"> confirm </w:t>
      </w:r>
      <w:r>
        <w:rPr>
          <w:rFonts w:ascii="Consolas" w:hAnsi="Consolas" w:cs="Consolas"/>
        </w:rPr>
        <w:t xml:space="preserve">PyQt6</w:t>
      </w:r>
      <w:r>
        <w:t xml:space="preserve"> is installed into the active virtual environment.</w:t>
      </w:r>
    </w:p>
    <w:p>
      <w:pPr>
        <w:pStyle w:val="ListBullet"/>
        <w:spacing w:after="60"/>
      </w:pPr>
      <w:r>
        <w:rPr>
          <w:b/>
        </w:rPr>
        <w:t xml:space="preserve">Ollama is unavailable:</w:t>
      </w:r>
      <w:r>
        <w:t xml:space="preserve"> start Ollama and confirm the configured local host is reachable. Folder scanning does not require Ollama.</w:t>
      </w:r>
    </w:p>
    <w:p>
      <w:pPr>
        <w:pStyle w:val="ListBullet"/>
        <w:spacing w:after="60"/>
      </w:pPr>
      <w:r>
        <w:rPr>
          <w:b/>
        </w:rPr>
        <w:t xml:space="preserve">ClamAV is unavailable:</w:t>
      </w:r>
      <w:r>
        <w:t xml:space="preserve"> confirm </w:t>
      </w:r>
      <w:r>
        <w:rPr>
          <w:rFonts w:ascii="Consolas" w:hAnsi="Consolas" w:cs="Consolas"/>
        </w:rPr>
        <w:t xml:space="preserve">clamscan --version</w:t>
      </w:r>
      <w:r>
        <w:t xml:space="preserve"> works in the same terminal used to launch the app. Code-pattern checks continue without it.</w:t>
      </w:r>
    </w:p>
    <w:p>
      <w:pPr>
        <w:pStyle w:val="ListBullet"/>
        <w:spacing w:after="60"/>
      </w:pPr>
      <w:r>
        <w:rPr>
          <w:b/>
        </w:rPr>
        <w:t xml:space="preserve">Cloud request/privacy concern:</w:t>
      </w:r>
      <w:r>
        <w:t xml:space="preserve"> remove the API key or enable offline mode before submitting private source or incident data.</w:t>
      </w:r>
    </w:p>
    <w:p>
      <w:pPr>
        <w:pStyle w:val="Heading2"/>
      </w:pPr>
      <w:r>
        <w:rPr>
          <w:rFonts w:ascii="Aptos" w:hAnsi="Aptos"/>
          <w:b w:val="0"/>
          <w:color w:val="222222"/>
          <w:sz w:val="21"/>
        </w:rPr>
        <w:t xml:space="preserve">Local model context</w:t>
      </w:r>
    </w:p>
    <w:p>
      <w:r>
        <w:t xml:space="preserve">The app sends a bounded </w:t>
      </w:r>
      <w:r>
        <w:rPr>
          <w:rFonts w:ascii="Consolas" w:hAnsi="Consolas" w:cs="Consolas"/>
        </w:rPr>
        <w:t xml:space="preserve">num_ctx</w:t>
      </w:r>
      <w:r>
        <w:t xml:space="preserve"> value to Ollama for local inference. The default is 32,768 tokens; context and temperature are selected in the </w:t>
      </w:r>
      <w:r>
        <w:rPr>
          <w:b/>
        </w:rPr>
        <w:t xml:space="preserve">Tune from selected model</w:t>
      </w:r>
      <w:r>
        <w:t xml:space="preserve"> profile dialog. Both local models receive the configured context and shared temperature on requests. Larger contexts use more memory and remain limited by each model's actual context support and available hardware. Context length is not an accuracy guarantee. Audit setup offers general, telemetry, telecom-configuration, and vulnerability-inventory focus profiles; these guide bounded model review and do not change scanner behavior or scan scope. User-created review workflows are saved in </w:t>
      </w:r>
      <w:r>
        <w:rPr>
          <w:rFonts w:ascii="Consolas" w:hAnsi="Consolas" w:cs="Consolas"/>
        </w:rPr>
        <w:t xml:space="preserve">workflow_skills.json</w:t>
      </w:r>
      <w:r>
        <w:t xml:space="preserve"> under the app's settings directory.</w:t>
      </w:r>
    </w:p>
    <w:p>
      <w:pPr>
        <w:pStyle w:val="Heading2"/>
      </w:pPr>
      <w:r>
        <w:rPr>
          <w:rFonts w:ascii="Aptos" w:hAnsi="Aptos"/>
          <w:b w:val="0"/>
          <w:color w:val="222222"/>
          <w:sz w:val="21"/>
        </w:rPr>
        <w:t xml:space="preserve">Privileges and elevation</w:t>
      </w:r>
    </w:p>
    <w:p>
      <w:r>
        <w:t xml:space="preserve">SecAudit runs ordinary read-only audits without administrator privileges. The desktop wrapper does not silently elevate, install arbitrary tools, or run supplied scripts. The Network tab displays whether the current process is a standard user or administrator. Custom skills cannot change that state and cannot grant tools access.</w:t>
      </w:r>
    </w:p>
    <w:p>
      <w:r>
        <w:t xml:space="preserve">The controlled permission profiles are read-only inspection, workspace access, approved local tools, approved desktop interaction, specific hardware access, and elevated operation. Only a future fixed adapter may request the last profile, and it must disclose the exact executable, arguments, target scope, files it may write, and why elevation is needed before requesting Windows UAC. There is no blanket administrator manifest or hidden relaunch. Denied or failed elevation is reported as incomplete, never as success. Approved lab executions are written to a redacted </w:t>
      </w:r>
      <w:r>
        <w:rPr>
          <w:rFonts w:ascii="Consolas" w:hAnsi="Consolas" w:cs="Consolas"/>
        </w:rPr>
        <w:t xml:space="preserve">execution_audit.jsonl</w:t>
      </w:r>
      <w:r>
        <w:t xml:space="preserve"> file in local app data.</w:t>
      </w:r>
    </w:p>
    <w:p>
      <w:r>
        <w:t xml:space="preserve">On Windows, the application and its children are contained in a Job Object configured to terminate the child process tree when SecAudit exits. Graceful close requests worker cancellation and terminates known children. A hard Task Manager termination cannot be intercepted; the local scan journal records an interrupted run for follow-up, and the user must confirm the scope again.</w:t>
      </w:r>
    </w:p>
    <w:p>
      <w:pPr>
        <w:pStyle w:val="Heading2"/>
      </w:pPr>
      <w:r>
        <w:rPr>
          <w:rFonts w:ascii="Aptos" w:hAnsi="Aptos"/>
          <w:b w:val="0"/>
          <w:color w:val="222222"/>
          <w:sz w:val="21"/>
        </w:rPr>
        <w:t xml:space="preserve">University lab tool setup</w:t>
      </w:r>
    </w:p>
    <w:p>
      <w:r>
        <w:t xml:space="preserve">On the Linux lab VM, inspect </w:t>
      </w:r>
      <w:r>
        <w:rPr>
          <w:rFonts w:ascii="Consolas" w:hAnsi="Consolas" w:cs="Consolas"/>
        </w:rPr>
        <w:t xml:space="preserve">lab_targets.txt</w:t>
      </w:r>
      <w:r>
        <w:t xml:space="preserve">, then run:</w:t>
      </w:r>
    </w:p>
    <w:p>
      <w:pPr>
        <w:shd w:val="clear" w:color="auto" w:fill="F2F2F2"/>
        <w:spacing w:before="0" w:after="0" w:line="240" w:lineRule="auto"/>
        <w:ind w:left="120"/>
      </w:pPr>
      <w:r>
        <w:rPr>
          <w:rFonts w:ascii="Consolas" w:hAnsi="Consolas" w:cs="Consolas"/>
          <w:sz w:val="16"/>
        </w:rPr>
        <w:t xml:space="preserve">bash scripts/setup_tools.sh</w:t>
      </w:r>
    </w:p>
    <w:p>
      <w:pPr>
        <w:spacing w:after="60"/>
      </w:pPr>
    </w:p>
    <w:p>
      <w:r>
        <w:t xml:space="preserve">The script uses apt for Nmap, SQLMap, ClamAV, Go, and pip; official Go module paths for ProjectDiscovery tools and ffuf; and a pinned Semgrep package. Version variables at the top of the script can be reviewed or overridden before use. SecAudit does not install tools from inside the desktop UI. The Run Monitor checks the actual executable path and version and reports a missing install command when a tool is unavailable. Python's </w:t>
      </w:r>
      <w:r>
        <w:rPr>
          <w:rFonts w:ascii="Consolas" w:hAnsi="Consolas" w:cs="Consolas"/>
        </w:rPr>
        <w:t xml:space="preserve">httpx</w:t>
      </w:r>
      <w:r>
        <w:t xml:space="preserve"> package is not accepted as the ProjectDiscovery </w:t>
      </w:r>
      <w:r>
        <w:rPr>
          <w:rFonts w:ascii="Consolas" w:hAnsi="Consolas" w:cs="Consolas"/>
        </w:rPr>
        <w:t xml:space="preserve">httpx</w:t>
      </w:r>
      <w:r>
        <w:t xml:space="preserve"> binary.</w:t>
      </w:r>
    </w:p>
    <w:p>
      <w:r>
        <w:t xml:space="preserve">The Network page is split into Connected network, Diagnose network, and Tool runner tabs. The tool runner supports an explicit UAC-session request for five fixed adapters (</w:t>
      </w:r>
      <w:r>
        <w:rPr>
          <w:rFonts w:ascii="Consolas" w:hAnsi="Consolas" w:cs="Consolas"/>
        </w:rPr>
        <w:t xml:space="preserve">nmap</w:t>
      </w:r>
      <w:r>
        <w:t xml:space="preserve">, </w:t>
      </w:r>
      <w:r>
        <w:rPr>
          <w:rFonts w:ascii="Consolas" w:hAnsi="Consolas" w:cs="Consolas"/>
        </w:rPr>
        <w:t xml:space="preserve">sqlmap</w:t>
      </w:r>
      <w:r>
        <w:t xml:space="preserve">, </w:t>
      </w:r>
      <w:r>
        <w:rPr>
          <w:rFonts w:ascii="Consolas" w:hAnsi="Consolas" w:cs="Consolas"/>
        </w:rPr>
        <w:t xml:space="preserve">clamscan</w:t>
      </w:r>
      <w:r>
        <w:t xml:space="preserve">, </w:t>
      </w:r>
      <w:r>
        <w:rPr>
          <w:rFonts w:ascii="Consolas" w:hAnsi="Consolas" w:cs="Consolas"/>
        </w:rPr>
        <w:t xml:space="preserve">semgrep</w:t>
      </w:r>
      <w:r>
        <w:t xml:space="preserve">, and </w:t>
      </w:r>
      <w:r>
        <w:rPr>
          <w:rFonts w:ascii="Consolas" w:hAnsi="Consolas" w:cs="Consolas"/>
        </w:rPr>
        <w:t xml:space="preserve">ffuf</w:t>
      </w:r>
      <w:r>
        <w:t xml:space="preserve">). Windows displays the UAC prompt; SecAudit does not bypass it, run arbitrary commands, or elevate silently. See </w:t>
      </w:r>
      <w:r>
        <w:t xml:space="preserve">authorized training references</w:t>
      </w:r>
      <w:r>
        <w:t xml:space="preserve"> before adding a written-authorized lab host to </w:t>
      </w:r>
      <w:r>
        <w:rPr>
          <w:rFonts w:ascii="Consolas" w:hAnsi="Consolas" w:cs="Consolas"/>
        </w:rPr>
        <w:t xml:space="preserve">lab_targets.txt</w:t>
      </w:r>
      <w:r>
        <w:t xml:space="preserve">.</w:t>
      </w:r>
    </w:p>
    <w:p>
      <w:pPr>
        <w:pStyle w:val="Heading1"/>
        <w:pageBreakBefore/>
      </w:pPr>
      <w:r>
        <w:rPr>
          <w:rFonts w:ascii="Aptos" w:hAnsi="Aptos"/>
          <w:b w:val="0"/>
          <w:color w:val="222222"/>
          <w:sz w:val="21"/>
        </w:rPr>
        <w:t xml:space="preserve">Appendix D. Strix and scanner integration</w:t>
      </w:r>
    </w:p>
    <w:p>
      <w:r>
        <w:rPr>
          <w:b/>
        </w:rPr>
        <w:t xml:space="preserve">Updated: 2026-10-29.</w:t>
      </w:r>
      <w:r>
        <w:t xml:space="preserve"> This describes the current SecAudit wrapper. It is not a description of the separate upstream Strix checkout.</w:t>
      </w:r>
    </w:p>
    <w:p>
      <w:pPr>
        <w:pStyle w:val="Heading2"/>
      </w:pPr>
      <w:r>
        <w:rPr>
          <w:rFonts w:ascii="Aptos" w:hAnsi="Aptos"/>
          <w:b w:val="0"/>
          <w:color w:val="222222"/>
          <w:sz w:val="21"/>
        </w:rPr>
        <w:t xml:space="preserve">What the current folder scan does</w:t>
      </w:r>
    </w:p>
    <w:p>
      <w:r>
        <w:t xml:space="preserve">The class in </w:t>
      </w:r>
      <w:r>
        <w:rPr>
          <w:rFonts w:ascii="Consolas" w:hAnsi="Consolas" w:cs="Consolas"/>
        </w:rPr>
        <w:t xml:space="preserve">llm_app/core/strix_engine.py</w:t>
      </w:r>
      <w:r>
        <w:t xml:space="preserve"> is a wrapper used by the existing draft. Its code-pattern checks are local heuristics. They are not the Strix autonomous penetration-testing engine, and they do not prove a folder or file is free of vulnerabilities or malware. If ClamAV is installed, the wrapper can additionally ask </w:t>
      </w:r>
      <w:r>
        <w:rPr>
          <w:rFonts w:ascii="Consolas" w:hAnsi="Consolas" w:cs="Consolas"/>
        </w:rPr>
        <w:t xml:space="preserve">clamscan</w:t>
      </w:r>
      <w:r>
        <w:t xml:space="preserve"> to inspect selected files or folders for known malware signatures. When Semgrep is installed and functionally verified, the wrapper invokes its bounded JSON scan with the remote </w:t>
      </w:r>
      <w:r>
        <w:rPr>
          <w:rFonts w:ascii="Consolas" w:hAnsi="Consolas" w:cs="Consolas"/>
        </w:rPr>
        <w:t xml:space="preserve">p/r2c-security-audit</w:t>
      </w:r>
      <w:r>
        <w:t xml:space="preserve"> pack when online, or bundled local rules when offline. A remote fetch failure is retried using bundled rules and marked </w:t>
      </w:r>
      <w:r>
        <w:rPr>
          <w:rFonts w:ascii="Consolas" w:hAnsi="Consolas" w:cs="Consolas"/>
        </w:rPr>
        <w:t xml:space="preserve">local-fallback</w:t>
      </w:r>
      <w:r>
        <w:t xml:space="preserve">. Only confirmed paths are passed to either scanner. The report records check status, selected scope, scan limits, scanned/skipped paths, duration, errors, engine verification, and any fallback.</w:t>
      </w:r>
    </w:p>
    <w:p>
      <w:r>
        <w:t xml:space="preserve">The wrapper exports its findings through the report helpers in the top-level </w:t>
      </w:r>
      <w:r>
        <w:rPr>
          <w:rFonts w:ascii="Consolas" w:hAnsi="Consolas" w:cs="Consolas"/>
        </w:rPr>
        <w:t xml:space="preserve">strix/</w:t>
      </w:r>
      <w:r>
        <w:t xml:space="preserve"> package. SARIF carries scanner results to code-review systems; it is not evidence that the underlying checks are complete.</w:t>
      </w:r>
    </w:p>
    <w:p>
      <w:pPr>
        <w:pStyle w:val="Heading2"/>
      </w:pPr>
      <w:r>
        <w:rPr>
          <w:rFonts w:ascii="Aptos" w:hAnsi="Aptos"/>
          <w:b w:val="0"/>
          <w:color w:val="222222"/>
          <w:sz w:val="21"/>
        </w:rPr>
        <w:t xml:space="preserve">Upstream Strix checkout</w:t>
      </w:r>
    </w:p>
    <w:p>
      <w:r>
        <w:rPr>
          <w:rFonts w:ascii="Consolas" w:hAnsi="Consolas" w:cs="Consolas"/>
        </w:rPr>
        <w:t xml:space="preserve">cyber-guardian/</w:t>
      </w:r>
      <w:r>
        <w:t xml:space="preserve"> is a separate checkout with its own Git history and agent guidance. It provides the upstream Strix application. The local desktop wrapper does not currently invoke that checkout when a user runs a folder scan. Keep changes to the upstream checkout separate from the SecAudit wrapper, and do not copy its agent-facing usage instructions into the app's system prompt.</w:t>
      </w:r>
    </w:p>
    <w:p>
      <w:r>
        <w:t xml:space="preserve">When a dedicated Strix pentest adapter is added, it must:</w:t>
      </w:r>
    </w:p>
    <w:p>
      <w:pPr>
        <w:spacing w:after="60"/>
        <w:ind w:left="360" w:hanging="360"/>
      </w:pPr>
      <w:r>
        <w:t xml:space="preserve">1. Show the exact URL, host, or source tree that Strix will inspect.</w:t>
      </w:r>
    </w:p>
    <w:p>
      <w:pPr>
        <w:spacing w:after="60"/>
        <w:ind w:left="360" w:hanging="360"/>
      </w:pPr>
      <w:r>
        <w:t xml:space="preserve">2. Require the user to confirm that they own the target or have written permission.</w:t>
      </w:r>
    </w:p>
    <w:p>
      <w:pPr>
        <w:spacing w:after="60"/>
        <w:ind w:left="360" w:hanging="360"/>
      </w:pPr>
      <w:r>
        <w:t xml:space="preserve">3. Keep any network test within the confirmed scope and use the Strix sandbox.</w:t>
      </w:r>
    </w:p>
    <w:p>
      <w:pPr>
        <w:spacing w:after="60"/>
        <w:ind w:left="360" w:hanging="360"/>
      </w:pPr>
      <w:r>
        <w:t xml:space="preserve">4. Show the selected LLM provider and whether source or findings will leave the machine.</w:t>
      </w:r>
    </w:p>
    <w:p>
      <w:pPr>
        <w:spacing w:after="60"/>
        <w:ind w:left="360" w:hanging="360"/>
      </w:pPr>
      <w:r>
        <w:t xml:space="preserve">5. Save results under a separate run folder and clearly label incomplete or failed runs.</w:t>
      </w:r>
    </w:p>
    <w:p>
      <w:r>
        <w:t xml:space="preserve">Do not use a directory malware scan as a substitute for Strix, or a Strix pentest as a substitute for endpoint protection.</w:t>
      </w:r>
    </w:p>
    <w:p>
      <w:pPr>
        <w:pStyle w:val="Heading2"/>
      </w:pPr>
      <w:r>
        <w:rPr>
          <w:rFonts w:ascii="Aptos" w:hAnsi="Aptos"/>
          <w:b w:val="0"/>
          <w:color w:val="222222"/>
          <w:sz w:val="21"/>
        </w:rPr>
        <w:t xml:space="preserve">Finding and SARIF fields</w:t>
      </w:r>
    </w:p>
    <w:p>
      <w:r>
        <w:t xml:space="preserve">The wrapper preserves scanner rule IDs, severity, applicable CWE, file path, line range, redacted evidence, and check status. Batch Review findings use a normalized schema with correlated rules, plain-language behavior, parsed command arguments, separate detection/threat certainty, MITRE techniques, nullable behavior-validated CWE, and per-file coverage. CWE rule references alone do not set a CWE identifier. Secret values must not be copied into logs or report snippets. SARIF remains available when optional tools are missing, and reports state which checks actually ran.</w:t>
      </w:r>
    </w:p>
    <w:p>
      <w:r>
        <w:t xml:space="preserve">Batch Review's own local rule engine does not invoke Semgrep or ClamAV; each report states </w:t>
      </w:r>
      <w:r>
        <w:rPr>
          <w:rFonts w:ascii="Consolas" w:hAnsi="Consolas" w:cs="Consolas"/>
        </w:rPr>
        <w:t xml:space="preserve">NOT RUN</w:t>
      </w:r>
      <w:r>
        <w:t xml:space="preserve"> for those scanners. Only the full audit flow can invoke the optional adapters when their tools and prerequisites are present.</w:t>
      </w:r>
    </w:p>
    <w:p>
      <w:pPr>
        <w:pStyle w:val="Heading2"/>
      </w:pPr>
      <w:r>
        <w:rPr>
          <w:rFonts w:ascii="Aptos" w:hAnsi="Aptos"/>
          <w:b w:val="0"/>
          <w:color w:val="222222"/>
          <w:sz w:val="21"/>
        </w:rPr>
        <w:t xml:space="preserve">Context and specialized analysis skills</w:t>
      </w:r>
    </w:p>
    <w:p>
      <w:r>
        <w:t xml:space="preserve">The desktop review defaults to a 32,768-token Ollama context, configurable in Settings at 8,192, 16,384, or 32,768, with a shared model temperature. Per-file model evidence is capped and scaled to the selected context. Both model tiers use the same local Ollama host and settings. This backend is vendor-neutral and does not require NVIDIA NIM, NeMo, CUDA, or NVIDIA hardware. These are capacity limits, not claims about model accuracy.</w:t>
      </w:r>
    </w:p>
    <w:p>
      <w:r>
        <w:t xml:space="preserve">The nested upstream Strix project has optional agent-facing skills for telemetry triage, telecom configuration review, and vulnerability analysis. Those skills remain inside the nested checkout and are not automatically executed by the desktop wrapper. The desktop uses its own read-only local scan, selected review focus, local Ollama model tiers, and explicit report coverage. It does not claim to perform live network testing, container extraction, CVE research, or automatic VEX decisions.</w:t>
      </w:r>
    </w:p>
    <w:p>
      <w:r>
        <w:t xml:space="preserve">The desktop </w:t>
      </w:r>
      <w:r>
        <w:rPr>
          <w:b/>
        </w:rPr>
        <w:t xml:space="preserve">Skills</w:t>
      </w:r>
      <w:r>
        <w:t xml:space="preserve"> screen provides its own built-in and user-authored review profiles. These are bounded prompt guidance used only when selected for a folder review; they are not Strix agent skills, executable plugins, or scanner rules.</w:t>
      </w:r>
    </w:p>
    <w:p>
      <w:r>
        <w:t xml:space="preserve">Several built-in SecAudit review profiles adapt safe analysis ideas found in Strix's skill material: static source/trust-boundary review, dependency evidence review, counterevidence assessment, and static fix review. These are authored as bounded SecAudit guidance; upstream skill files are not copied or loaded at runtime. Active reconnaissance, exploit/PoC execution, tool invocation, and agent-orchestration instructions are intentionally excluded. The profiles only guide model interpretation of the confirmed scope and fixed scanner evidence; they do not run commands, expand scope, or erase scanner findings. SecAudit does not install the upstream Strix toolchain into the frozen executable and does not claim that every upstream Strix function is available in the desktop wrapper.</w:t>
      </w:r>
    </w:p>
    <w:p>
      <w:r>
        <w:t xml:space="preserve">Run Monitor displays background Semgrep and ClamAV probe results. Semgrep requires a version response and a successful bundled-fixture scan; ClamAV requires a version response plus a custom-signature detection and clean-fixture scan. ClamAV readiness also reflects whether current app-managed signatures exist. Probes are persisted and re-run after 24 hours, an engine change, or a scanner-level failure. The inventory reports verified paths, versions, availability, and install guidance; it does not invoke the upstream Strix engine.</w:t>
      </w:r>
    </w:p>
    <w:p>
      <w:r>
        <w:t xml:space="preserve">The optional ClamAV daemon is owned by the active SecAudit session, uses a loopback-only listener, and is never installed as a Windows service. Failed startup falls back to bounded one-shot scanning with the reason included in scan details. FreshClam updates are blocked in offline mode and cause active daemon reload/restart and a new readiness probe. Batch Review has no path to invoke either optional scanner and continues to label both </w:t>
      </w:r>
      <w:r>
        <w:rPr>
          <w:rFonts w:ascii="Consolas" w:hAnsi="Consolas" w:cs="Consolas"/>
        </w:rPr>
        <w:t xml:space="preserve">NOT RUN</w:t>
      </w:r>
      <w:r>
        <w:t xml:space="preserve">.</w:t>
      </w:r>
    </w:p>
    <w:p>
      <w:r>
        <w:t xml:space="preserve">At the user's explicit request, the reviewed custom documents under </w:t>
      </w:r>
      <w:r>
        <w:rPr>
          <w:rFonts w:ascii="Consolas" w:hAnsi="Consolas" w:cs="Consolas"/>
        </w:rPr>
        <w:t xml:space="preserve">cyber-guardian/strix/skills/custom</w:t>
      </w:r>
      <w:r>
        <w:t xml:space="preserve"> are bundled as bounded SecAudit guidance. They are not executable Strix plugins, cannot choose tools or targets, and cannot grant permissions. The desktop wrapper still does not invoke the upstream agent runtime for folder audits.</w:t>
      </w:r>
    </w:p>
    <w:p>
      <w:pPr>
        <w:pStyle w:val="Heading1"/>
        <w:pageBreakBefore/>
      </w:pPr>
      <w:r>
        <w:rPr>
          <w:rFonts w:ascii="Aptos" w:hAnsi="Aptos"/>
          <w:b w:val="0"/>
          <w:color w:val="222222"/>
          <w:sz w:val="21"/>
        </w:rPr>
        <w:t xml:space="preserve">Appendix E. Authorised training references</w:t>
      </w:r>
    </w:p>
    <w:p>
      <w:r>
        <w:t xml:space="preserve">The uploaded training-site list is treated as a reference catalog, not as an automatic target list. SecAudit does not crawl, probe, or add these hosts to </w:t>
      </w:r>
      <w:r>
        <w:rPr>
          <w:rFonts w:ascii="Consolas" w:hAnsi="Consolas" w:cs="Consolas"/>
        </w:rPr>
        <w:t xml:space="preserve">lab_targets.txt</w:t>
      </w:r>
      <w:r>
        <w:t xml:space="preserve"> automatically. Before using a network-capable adapter, the operator must deploy or obtain written authorization for a lab instance and add the exact approved IP range or hostname to the local allow-list.</w:t>
      </w:r>
    </w:p>
    <w:p>
      <w:r>
        <w:t xml:space="preserve">The catalog includes intentionally vulnerable and training environments such as OWASP Juice Shop, DVWA, WebGoat, bWAPP, Mutillidae II, Damn Vulnerable Web Services, Hackazon, Metasploitable, VulnHub, TryHackMe, Hack The Box, PicoCTF, OverTheWire, PentesterLab, PortSwigger Web Security Academy, Google Gruyere, SEED Labs, Root Me, and the other references supplied in the uploaded source.</w:t>
      </w:r>
    </w:p>
    <w:p>
      <w:r>
        <w:t xml:space="preserve">Links in the source list can change ownership, availability, or authorization terms. SecAudit therefore displays them as training references only. Public network access remains disabled by offline mode and is never inferred from a skill, a URL pasted into the tool runner, or a model response.</w:t>
      </w:r>
    </w:p>
    <w:p>
      <w:pPr>
        <w:pStyle w:val="Heading2"/>
      </w:pPr>
      <w:r>
        <w:rPr>
          <w:rFonts w:ascii="Aptos" w:hAnsi="Aptos"/>
          <w:b w:val="0"/>
          <w:color w:val="222222"/>
          <w:sz w:val="21"/>
        </w:rPr>
        <w:t xml:space="preserve">Evidence shown after a run</w:t>
      </w:r>
    </w:p>
    <w:p>
      <w:r>
        <w:t xml:space="preserve">The Network &gt; Tool runner tab records the fixed executable, argument list, target, start/end status, exit code, output limits, and parsed events. A zero exit code is not treated as proof that a scan found a host or service. The Network &gt; Diagnose network tab separately reports local-stack, route/gateway, TCP/IP-count, DNS-configuration, and adapter-signal observations without displaying private addresses, SSIDs, DNS server addresses, or connection peers.</w:t>
      </w:r>
    </w:p>
    <w:p>
      <w:pPr>
        <w:pStyle w:val="Heading2"/>
      </w:pPr>
      <w:r>
        <w:rPr>
          <w:rFonts w:ascii="Aptos" w:hAnsi="Aptos"/>
          <w:b w:val="0"/>
          <w:color w:val="222222"/>
          <w:sz w:val="21"/>
        </w:rPr>
        <w:t xml:space="preserve">Local hosting and allow-listed targets</w:t>
      </w:r>
    </w:p>
    <w:p>
      <w:r>
        <w:t xml:space="preserve">The lab runner accepts every IP, CIDR range, or domain explicitly present in </w:t>
      </w:r>
      <w:r>
        <w:rPr>
          <w:rFonts w:ascii="Consolas" w:hAnsi="Consolas" w:cs="Consolas"/>
        </w:rPr>
        <w:t xml:space="preserve">lab_targets.txt</w:t>
      </w:r>
      <w:r>
        <w:t xml:space="preserve">, not only localhost. This permits authorized remote lab VMs and private projects while keeping the target boundary explicit. The runner does not infer authorization from the training catalog and does not add public sites automatically. Add only systems you own or have written permission to test, then confirm the exact target in the UI before running a fixed adapter.</w:t>
      </w:r>
    </w:p>
    <w:p>
      <w:r>
        <w:t xml:space="preserve">Training applications should preferably be downloaded, reviewed, and self-hosted inside an isolated lab network. SecAudit can scan the resulting allow-listed host, but it does not download, install, execute, or detonate supplied training projects.</w:t>
      </w:r>
    </w:p>
    <w:sectPr w:rsidR="00ED7985" w:rsidSect="00034616">
      <w:headerReference w:type="default" r:id="rId8"/>
      <w:footerReference w:type="default" r:id="rId9"/>
      <w:pgSz w:w="12240" w:h="15840"/>
      <w:pgMar w:top="1037"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92456" w14:textId="77777777" w:rsidR="001E64EF" w:rsidRDefault="001E64EF">
      <w:pPr>
        <w:spacing w:after="0" w:line="240" w:lineRule="auto"/>
      </w:pPr>
      <w:r>
        <w:separator/>
      </w:r>
    </w:p>
  </w:endnote>
  <w:endnote w:type="continuationSeparator" w:id="0">
    <w:p w14:paraId="68DE2183" w14:textId="77777777" w:rsidR="001E64EF" w:rsidRDefault="001E64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313B1" w14:textId="77777777" w:rsidR="00ED7985" w:rsidRDefault="00000000">
    <w:pPr>
      <w:pStyle w:val="Footer"/>
      <w:jc w:val="center"/>
    </w:pPr>
    <w:proofErr w:type="spellStart"/>
    <w:r>
      <w:rPr>
        <w:color w:val="667085"/>
        <w:sz w:val="16"/>
      </w:rPr>
      <w:t>SecAudit</w:t>
    </w:r>
    <w:proofErr w:type="spellEnd"/>
    <w:r>
      <w:rPr>
        <w:color w:val="667085"/>
        <w:sz w:val="16"/>
      </w:rPr>
      <w:t xml:space="preserve"> is for authorized security-lab and controlled enterprise review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08653" w14:textId="77777777" w:rsidR="001E64EF" w:rsidRDefault="001E64EF">
      <w:pPr>
        <w:spacing w:after="0" w:line="240" w:lineRule="auto"/>
      </w:pPr>
      <w:r>
        <w:separator/>
      </w:r>
    </w:p>
  </w:footnote>
  <w:footnote w:type="continuationSeparator" w:id="0">
    <w:p w14:paraId="1AFAAA9B" w14:textId="77777777" w:rsidR="001E64EF" w:rsidRDefault="001E64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A2BB1" w14:textId="77777777" w:rsidR="00ED7985" w:rsidRDefault="00000000">
    <w:pPr>
      <w:pStyle w:val="Header"/>
      <w:jc w:val="right"/>
    </w:pPr>
    <w:proofErr w:type="gramStart"/>
    <w:r>
      <w:rPr>
        <w:b/>
        <w:color w:val="667085"/>
        <w:sz w:val="16"/>
      </w:rPr>
      <w:t>SECAUDIT  |</w:t>
    </w:r>
    <w:proofErr w:type="gramEnd"/>
    <w:r>
      <w:rPr>
        <w:b/>
        <w:color w:val="667085"/>
        <w:sz w:val="16"/>
      </w:rPr>
      <w:t xml:space="preserve">  SECURITY REVIEW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7380353">
    <w:abstractNumId w:val="8"/>
  </w:num>
  <w:num w:numId="2" w16cid:durableId="145126234">
    <w:abstractNumId w:val="6"/>
  </w:num>
  <w:num w:numId="3" w16cid:durableId="108932697">
    <w:abstractNumId w:val="5"/>
  </w:num>
  <w:num w:numId="4" w16cid:durableId="2002538324">
    <w:abstractNumId w:val="4"/>
  </w:num>
  <w:num w:numId="5" w16cid:durableId="1286734719">
    <w:abstractNumId w:val="7"/>
  </w:num>
  <w:num w:numId="6" w16cid:durableId="1287664579">
    <w:abstractNumId w:val="3"/>
  </w:num>
  <w:num w:numId="7" w16cid:durableId="440613233">
    <w:abstractNumId w:val="2"/>
  </w:num>
  <w:num w:numId="8" w16cid:durableId="1094473185">
    <w:abstractNumId w:val="1"/>
  </w:num>
  <w:num w:numId="9" w16cid:durableId="53549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D3A"/>
    <w:rsid w:val="0006063C"/>
    <w:rsid w:val="0015074B"/>
    <w:rsid w:val="001E64EF"/>
    <w:rsid w:val="0029639D"/>
    <w:rsid w:val="00326F90"/>
    <w:rsid w:val="00AA1D8D"/>
    <w:rsid w:val="00AB161D"/>
    <w:rsid w:val="00B2086C"/>
    <w:rsid w:val="00B47730"/>
    <w:rsid w:val="00CB0664"/>
    <w:rsid w:val="00ED7985"/>
    <w:rsid w:val="00EF4C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1499CF"/>
  <w14:defaultImageDpi w14:val="300"/>
  <w15:docId w15:val="{F14A79E3-F7F4-408E-9596-2563397EE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2428</Words>
  <Characters>13841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SecAudit Overview and Market Use Cases</vt:lpstr>
    </vt:vector>
  </TitlesOfParts>
  <Manager/>
  <Company/>
  <LinksUpToDate>false</LinksUpToDate>
  <CharactersWithSpaces>16237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SecAudit Overview and Market Use Cases</dc:title>
  <dc:subject>SecAudit scope, functions, users, rules and corporate use cases</dc:subject>
  <dc:creator>brendonmupini@outlook.com</dc:creator>
  <cp:keywords>SecAudit, cybersecurity, security review, supplier intake, prototype testing, WLAN lab</cp:keywords>
  <dc:description>generated by python-docx</dc:description>
  <cp:lastModifiedBy>Brendon Mupini</cp:lastModifiedBy>
  <cp:revision>5</cp:revision>
  <dcterms:created xsi:type="dcterms:W3CDTF">2013-12-23T23:15:00Z</dcterms:created>
  <dcterms:modified xsi:type="dcterms:W3CDTF">2026-10-29T08:00:00Z</dcterms:modified>
  <cp:category/>
</cp:coreProperties>
</file>