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AECCD6" w14:textId="71E9B421" w:rsidR="00A36E90" w:rsidRDefault="00C26980">
      <w:pPr>
        <w:pStyle w:val="Ttulo"/>
      </w:pPr>
      <w:r>
        <w:t>Glossário</w:t>
      </w:r>
    </w:p>
    <w:p w14:paraId="62F4DA66" w14:textId="1012C0EA" w:rsidR="00264C02" w:rsidRDefault="004D42B2" w:rsidP="00264C02">
      <w:pPr>
        <w:pStyle w:val="Subttulo"/>
      </w:pPr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4D42B2" w14:paraId="4D60B932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364D" w14:textId="77777777" w:rsidR="004D42B2" w:rsidRDefault="004D42B2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DA1A" w14:textId="77777777" w:rsidR="004D42B2" w:rsidRDefault="004D42B2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DEC7" w14:textId="77777777" w:rsidR="004D42B2" w:rsidRDefault="004D42B2" w:rsidP="00F207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4F22" w14:textId="77777777" w:rsidR="004D42B2" w:rsidRDefault="004D42B2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D42B2" w14:paraId="341AA763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97F2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DE28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63B2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8239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4D42B2" w14:paraId="5B5B3AF1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6358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13C4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1627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A8BE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4D42B2" w14:paraId="6CB40975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190C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D7F9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338A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04EE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4D42B2" w14:paraId="427349CF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B607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135D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DB68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121B" w14:textId="6CC92BD4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E21EB4">
              <w:rPr>
                <w:sz w:val="20"/>
                <w:szCs w:val="20"/>
              </w:rPr>
              <w:t>94669-6682</w:t>
            </w:r>
          </w:p>
        </w:tc>
      </w:tr>
      <w:tr w:rsidR="004D42B2" w14:paraId="5F523DEE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6649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E16D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E373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65E2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4D42B2" w14:paraId="3F827DDD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C174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71DB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BBFE" w14:textId="77777777" w:rsidR="004D42B2" w:rsidRPr="005916CF" w:rsidRDefault="00130C35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4D42B2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EC84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30DE832D" w14:textId="77777777" w:rsidR="00264C02" w:rsidRDefault="00264C02">
      <w:pPr>
        <w:rPr>
          <w:b/>
        </w:rPr>
      </w:pPr>
    </w:p>
    <w:p w14:paraId="635B2033" w14:textId="75056FAA" w:rsidR="00264C02" w:rsidRDefault="004D42B2" w:rsidP="00264C02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64C02" w14:paraId="28104F6E" w14:textId="77777777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F2FFA" w14:textId="77777777" w:rsidR="00264C02" w:rsidRDefault="00264C02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64C02" w14:paraId="3E19E316" w14:textId="77777777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FEFD" w14:textId="79093875" w:rsidR="00264C02" w:rsidRDefault="004D42B2" w:rsidP="004D4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02299F28" w14:textId="77777777" w:rsidR="00264C02" w:rsidRPr="00264C02" w:rsidRDefault="00264C02" w:rsidP="00264C02"/>
    <w:p w14:paraId="11CB850B" w14:textId="77777777" w:rsidR="00A36E90" w:rsidRDefault="00A36E90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14:paraId="70739853" w14:textId="77777777" w:rsidTr="00264C0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C3BA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810D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14:paraId="7007FCC6" w14:textId="77777777" w:rsidTr="00264C0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8BB" w14:textId="1C753A60" w:rsidR="00A36E90" w:rsidRPr="009455EE" w:rsidRDefault="0094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"/>
              </w:rPr>
            </w:pPr>
            <w:r w:rsidRPr="009455EE">
              <w:rPr>
                <w:lang w:val="pt"/>
              </w:rPr>
              <w:t>Petente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C15" w14:textId="011076CE" w:rsidR="00A36E90" w:rsidRPr="009455EE" w:rsidRDefault="0094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"/>
              </w:rPr>
            </w:pPr>
            <w:r>
              <w:rPr>
                <w:lang w:val="pt"/>
              </w:rPr>
              <w:t xml:space="preserve">É algo </w:t>
            </w:r>
            <w:r>
              <w:rPr>
                <w:lang w:val="pt"/>
              </w:rPr>
              <w:t>de uso permitido a todos; aberto, franqueado; que não deixa dúvida; claro, evidente</w:t>
            </w:r>
          </w:p>
        </w:tc>
      </w:tr>
      <w:tr w:rsidR="00A36E90" w14:paraId="6411D3BA" w14:textId="77777777" w:rsidTr="003E3998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2E63" w14:textId="6425657E" w:rsidR="00A36E90" w:rsidRPr="009455EE" w:rsidRDefault="0094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"/>
              </w:rPr>
            </w:pPr>
            <w:r w:rsidRPr="009455EE">
              <w:rPr>
                <w:lang w:val="pt"/>
              </w:rPr>
              <w:t>P</w:t>
            </w:r>
            <w:r w:rsidRPr="009455EE">
              <w:rPr>
                <w:lang w:val="pt"/>
              </w:rPr>
              <w:t>ortifólio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92EA" w14:textId="78D45C89" w:rsidR="00A36E90" w:rsidRPr="009455EE" w:rsidRDefault="0094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"/>
              </w:rPr>
            </w:pPr>
            <w:r w:rsidRPr="009455EE">
              <w:rPr>
                <w:lang w:val="pt"/>
              </w:rPr>
              <w:t>É uma lista de trabalhos de um profissional, empresa ou estudante. O portfólio é uma coleção de todo o trabalho em andamento na organização relacionado com o alcance dos objetivos do negócio</w:t>
            </w:r>
          </w:p>
        </w:tc>
      </w:tr>
      <w:tr w:rsidR="00A36E90" w14:paraId="1AE91238" w14:textId="77777777" w:rsidTr="003E3998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73AB" w14:textId="44F2D959" w:rsidR="00A36E90" w:rsidRPr="009455EE" w:rsidRDefault="0094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"/>
              </w:rPr>
            </w:pPr>
            <w:r w:rsidRPr="009455EE">
              <w:rPr>
                <w:lang w:val="pt"/>
              </w:rPr>
              <w:t>P</w:t>
            </w:r>
            <w:r w:rsidRPr="009455EE">
              <w:rPr>
                <w:lang w:val="pt"/>
              </w:rPr>
              <w:t>arque fabril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E802" w14:textId="05EEDF72" w:rsidR="009455EE" w:rsidRPr="009455EE" w:rsidRDefault="009455EE" w:rsidP="009455EE">
            <w:pPr>
              <w:widowControl w:val="0"/>
              <w:autoSpaceDE w:val="0"/>
              <w:autoSpaceDN w:val="0"/>
              <w:adjustRightInd w:val="0"/>
              <w:spacing w:after="200"/>
              <w:jc w:val="both"/>
              <w:rPr>
                <w:lang w:val="pt"/>
              </w:rPr>
            </w:pPr>
            <w:r w:rsidRPr="009455EE">
              <w:rPr>
                <w:lang w:val="pt"/>
              </w:rPr>
              <w:t>É um espaço territorial no qual se agrupam uma série de atividades industriais ou empresariais que podem ou não estar relacionadas entre si</w:t>
            </w:r>
          </w:p>
          <w:p w14:paraId="2F062C95" w14:textId="77777777" w:rsidR="00A36E90" w:rsidRPr="009455EE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"/>
              </w:rPr>
            </w:pPr>
          </w:p>
        </w:tc>
      </w:tr>
      <w:tr w:rsidR="003E3998" w14:paraId="276D7D2B" w14:textId="77777777" w:rsidTr="003E3998">
        <w:trPr>
          <w:trHeight w:val="1060"/>
        </w:trPr>
        <w:tc>
          <w:tcPr>
            <w:tcW w:w="1920" w:type="dxa"/>
            <w:tcBorders>
              <w:top w:val="single" w:sz="4" w:space="0" w:color="auto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A9C2" w14:textId="7A923F48" w:rsidR="003E3998" w:rsidRPr="009455EE" w:rsidRDefault="0094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"/>
              </w:rPr>
            </w:pPr>
            <w:r w:rsidRPr="009455EE">
              <w:rPr>
                <w:lang w:val="pt"/>
              </w:rPr>
              <w:t>Market Share</w:t>
            </w:r>
          </w:p>
        </w:tc>
        <w:tc>
          <w:tcPr>
            <w:tcW w:w="7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D790" w14:textId="37FECCA4" w:rsidR="009455EE" w:rsidRPr="009455EE" w:rsidRDefault="009455EE" w:rsidP="009455EE">
            <w:pPr>
              <w:widowControl w:val="0"/>
              <w:autoSpaceDE w:val="0"/>
              <w:autoSpaceDN w:val="0"/>
              <w:adjustRightInd w:val="0"/>
              <w:spacing w:after="200"/>
              <w:jc w:val="both"/>
              <w:rPr>
                <w:lang w:val="pt"/>
              </w:rPr>
            </w:pPr>
            <w:r w:rsidRPr="009455EE">
              <w:rPr>
                <w:lang w:val="pt"/>
              </w:rPr>
              <w:t>Grau de participação de uma empresa no mercado em termos das vendas de um determinado produto; fração do mercado controlada por ela.</w:t>
            </w:r>
          </w:p>
          <w:p w14:paraId="35B97941" w14:textId="77777777" w:rsidR="003E3998" w:rsidRPr="009455EE" w:rsidRDefault="003E3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"/>
              </w:rPr>
            </w:pPr>
          </w:p>
        </w:tc>
      </w:tr>
      <w:tr w:rsidR="009455EE" w14:paraId="3A4ECDE9" w14:textId="77777777" w:rsidTr="003E3998">
        <w:trPr>
          <w:trHeight w:val="1060"/>
        </w:trPr>
        <w:tc>
          <w:tcPr>
            <w:tcW w:w="1920" w:type="dxa"/>
            <w:tcBorders>
              <w:top w:val="single" w:sz="4" w:space="0" w:color="auto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3251" w14:textId="697328D9" w:rsidR="009455EE" w:rsidRPr="009455EE" w:rsidRDefault="0094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"/>
              </w:rPr>
            </w:pPr>
            <w:r>
              <w:rPr>
                <w:lang w:val="pt"/>
              </w:rPr>
              <w:lastRenderedPageBreak/>
              <w:t>N</w:t>
            </w:r>
            <w:r>
              <w:rPr>
                <w:lang w:val="pt"/>
              </w:rPr>
              <w:t>uvem</w:t>
            </w:r>
          </w:p>
        </w:tc>
        <w:tc>
          <w:tcPr>
            <w:tcW w:w="7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01DF" w14:textId="747B20C0" w:rsidR="009455EE" w:rsidRPr="009455EE" w:rsidRDefault="009455EE" w:rsidP="009455EE">
            <w:pPr>
              <w:widowControl w:val="0"/>
              <w:autoSpaceDE w:val="0"/>
              <w:autoSpaceDN w:val="0"/>
              <w:adjustRightInd w:val="0"/>
              <w:spacing w:after="200"/>
              <w:jc w:val="both"/>
              <w:rPr>
                <w:lang w:val="pt"/>
              </w:rPr>
            </w:pPr>
            <w:r>
              <w:rPr>
                <w:lang w:val="pt"/>
              </w:rPr>
              <w:t xml:space="preserve">Computação em nuvem ou </w:t>
            </w:r>
            <w:r>
              <w:rPr>
                <w:lang w:val="pt"/>
              </w:rPr>
              <w:t>“</w:t>
            </w:r>
            <w:r>
              <w:rPr>
                <w:lang w:val="pt"/>
              </w:rPr>
              <w:t xml:space="preserve">cloud </w:t>
            </w:r>
            <w:proofErr w:type="spellStart"/>
            <w:r>
              <w:rPr>
                <w:lang w:val="pt"/>
              </w:rPr>
              <w:t>computing</w:t>
            </w:r>
            <w:proofErr w:type="spellEnd"/>
            <w:r>
              <w:rPr>
                <w:lang w:val="pt"/>
              </w:rPr>
              <w:t>” é</w:t>
            </w:r>
            <w:r>
              <w:rPr>
                <w:lang w:val="pt"/>
              </w:rPr>
              <w:t xml:space="preserve"> o termo utilizado para definir a disponibilidade sob demanda de recursos do sistema de computador, especialmente armazenamento de dados e capacidade de computação.</w:t>
            </w:r>
          </w:p>
        </w:tc>
      </w:tr>
      <w:tr w:rsidR="009455EE" w14:paraId="2F7E859F" w14:textId="77777777" w:rsidTr="003E3998">
        <w:trPr>
          <w:trHeight w:val="1060"/>
        </w:trPr>
        <w:tc>
          <w:tcPr>
            <w:tcW w:w="1920" w:type="dxa"/>
            <w:tcBorders>
              <w:top w:val="single" w:sz="4" w:space="0" w:color="auto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416D" w14:textId="0DBF1148" w:rsidR="009455EE" w:rsidRDefault="0094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"/>
              </w:rPr>
            </w:pPr>
            <w:r>
              <w:rPr>
                <w:lang w:val="pt"/>
              </w:rPr>
              <w:t>Bluetooth</w:t>
            </w:r>
          </w:p>
        </w:tc>
        <w:tc>
          <w:tcPr>
            <w:tcW w:w="7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ABC6" w14:textId="6C29E987" w:rsidR="009455EE" w:rsidRDefault="009455EE" w:rsidP="009455EE">
            <w:pPr>
              <w:widowControl w:val="0"/>
              <w:autoSpaceDE w:val="0"/>
              <w:autoSpaceDN w:val="0"/>
              <w:adjustRightInd w:val="0"/>
              <w:spacing w:after="200"/>
              <w:jc w:val="both"/>
              <w:rPr>
                <w:lang w:val="pt"/>
              </w:rPr>
            </w:pPr>
            <w:r>
              <w:rPr>
                <w:lang w:val="pt"/>
              </w:rPr>
              <w:t>É</w:t>
            </w:r>
            <w:r>
              <w:rPr>
                <w:lang w:val="pt"/>
              </w:rPr>
              <w:t xml:space="preserve"> um protocolo padrão de comunicação primariamente projetado para baixo consumo de energia com baixo alcance</w:t>
            </w:r>
          </w:p>
          <w:p w14:paraId="5D8AC398" w14:textId="77777777" w:rsidR="009455EE" w:rsidRDefault="009455EE" w:rsidP="009455EE">
            <w:pPr>
              <w:widowControl w:val="0"/>
              <w:autoSpaceDE w:val="0"/>
              <w:autoSpaceDN w:val="0"/>
              <w:adjustRightInd w:val="0"/>
              <w:spacing w:after="200"/>
              <w:jc w:val="both"/>
              <w:rPr>
                <w:lang w:val="pt"/>
              </w:rPr>
            </w:pPr>
          </w:p>
        </w:tc>
      </w:tr>
      <w:tr w:rsidR="009455EE" w14:paraId="4F1B6CF5" w14:textId="77777777" w:rsidTr="003E3998">
        <w:trPr>
          <w:trHeight w:val="1060"/>
        </w:trPr>
        <w:tc>
          <w:tcPr>
            <w:tcW w:w="1920" w:type="dxa"/>
            <w:tcBorders>
              <w:top w:val="single" w:sz="4" w:space="0" w:color="auto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0099" w14:textId="7D926459" w:rsidR="009455EE" w:rsidRDefault="0094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"/>
              </w:rPr>
            </w:pPr>
            <w:r>
              <w:rPr>
                <w:lang w:val="pt"/>
              </w:rPr>
              <w:t>Gateway</w:t>
            </w:r>
          </w:p>
        </w:tc>
        <w:tc>
          <w:tcPr>
            <w:tcW w:w="7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A1BB" w14:textId="5ECB387C" w:rsidR="009455EE" w:rsidRDefault="009455EE" w:rsidP="009455EE">
            <w:pPr>
              <w:widowControl w:val="0"/>
              <w:autoSpaceDE w:val="0"/>
              <w:autoSpaceDN w:val="0"/>
              <w:adjustRightInd w:val="0"/>
              <w:spacing w:after="200"/>
              <w:jc w:val="both"/>
              <w:rPr>
                <w:lang w:val="pt"/>
              </w:rPr>
            </w:pPr>
            <w:r>
              <w:rPr>
                <w:lang w:val="pt"/>
              </w:rPr>
              <w:t>S</w:t>
            </w:r>
            <w:r>
              <w:rPr>
                <w:lang w:val="pt"/>
              </w:rPr>
              <w:t xml:space="preserve">e refere a um hardware que possui uma rede de comunicações equipada para compartilhar com outra rede que usa protocolos diferentes. Um gateway pode possuir </w:t>
            </w:r>
            <w:r>
              <w:rPr>
                <w:lang w:val="pt"/>
              </w:rPr>
              <w:t>dispositivos</w:t>
            </w:r>
            <w:r>
              <w:rPr>
                <w:lang w:val="pt"/>
              </w:rPr>
              <w:t xml:space="preserve"> tradutores de protocolos, de comparação de impedância, isoladores de falhas e tradutores de sinais.</w:t>
            </w:r>
          </w:p>
        </w:tc>
      </w:tr>
      <w:tr w:rsidR="009455EE" w14:paraId="1CAEB41A" w14:textId="77777777" w:rsidTr="003E3998">
        <w:trPr>
          <w:trHeight w:val="1060"/>
        </w:trPr>
        <w:tc>
          <w:tcPr>
            <w:tcW w:w="1920" w:type="dxa"/>
            <w:tcBorders>
              <w:top w:val="single" w:sz="4" w:space="0" w:color="auto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6744" w14:textId="24696C56" w:rsidR="009455EE" w:rsidRDefault="0094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"/>
              </w:rPr>
            </w:pPr>
            <w:r>
              <w:rPr>
                <w:lang w:val="pt"/>
              </w:rPr>
              <w:t>IoT</w:t>
            </w:r>
          </w:p>
        </w:tc>
        <w:tc>
          <w:tcPr>
            <w:tcW w:w="7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1A5C" w14:textId="2530A768" w:rsidR="009455EE" w:rsidRDefault="009455EE" w:rsidP="009455EE">
            <w:pPr>
              <w:widowControl w:val="0"/>
              <w:autoSpaceDE w:val="0"/>
              <w:autoSpaceDN w:val="0"/>
              <w:adjustRightInd w:val="0"/>
              <w:spacing w:after="200"/>
              <w:jc w:val="both"/>
              <w:rPr>
                <w:lang w:val="pt"/>
              </w:rPr>
            </w:pPr>
            <w:r>
              <w:rPr>
                <w:lang w:val="pt"/>
              </w:rPr>
              <w:t xml:space="preserve">(Internet of Things) - tem como objetivo conectar todos os tipos de objetos Físicos para a internet, incluindo geladeiras, </w:t>
            </w:r>
            <w:r>
              <w:rPr>
                <w:lang w:val="pt"/>
              </w:rPr>
              <w:t>dispositivos</w:t>
            </w:r>
            <w:r>
              <w:rPr>
                <w:lang w:val="pt"/>
              </w:rPr>
              <w:t xml:space="preserve"> médicos, dispositivos inteligentes e até mesmo cidades com tecnologia inteligente, existentes devido ao IoT. Estes dispositivos físicos recebem os dados em redes sem fio e sem intervenção humana, isso é possível devido a computação simples com sensores em todos os tipos de objetos.</w:t>
            </w:r>
          </w:p>
          <w:p w14:paraId="5B746E0C" w14:textId="77777777" w:rsidR="009455EE" w:rsidRDefault="009455EE" w:rsidP="009455EE">
            <w:pPr>
              <w:widowControl w:val="0"/>
              <w:autoSpaceDE w:val="0"/>
              <w:autoSpaceDN w:val="0"/>
              <w:adjustRightInd w:val="0"/>
              <w:spacing w:after="200"/>
              <w:jc w:val="both"/>
              <w:rPr>
                <w:lang w:val="pt"/>
              </w:rPr>
            </w:pPr>
          </w:p>
        </w:tc>
      </w:tr>
    </w:tbl>
    <w:p w14:paraId="59F91641" w14:textId="77777777" w:rsidR="00A36E90" w:rsidRDefault="00A36E90"/>
    <w:sectPr w:rsidR="00A36E9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CD6A5" w14:textId="77777777" w:rsidR="00130C35" w:rsidRDefault="00130C35" w:rsidP="00264C02">
      <w:pPr>
        <w:spacing w:line="240" w:lineRule="auto"/>
      </w:pPr>
      <w:r>
        <w:separator/>
      </w:r>
    </w:p>
  </w:endnote>
  <w:endnote w:type="continuationSeparator" w:id="0">
    <w:p w14:paraId="0BE3DD27" w14:textId="77777777" w:rsidR="00130C35" w:rsidRDefault="00130C35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DAF64" w14:textId="77777777"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E3998">
          <w:rPr>
            <w:noProof/>
          </w:rPr>
          <w:t>1</w:t>
        </w:r>
        <w:r>
          <w:fldChar w:fldCharType="end"/>
        </w:r>
      </w:sdtContent>
    </w:sdt>
  </w:p>
  <w:p w14:paraId="370E85F1" w14:textId="77777777"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88E96" w14:textId="77777777" w:rsidR="00130C35" w:rsidRDefault="00130C35" w:rsidP="00264C02">
      <w:pPr>
        <w:spacing w:line="240" w:lineRule="auto"/>
      </w:pPr>
      <w:r>
        <w:separator/>
      </w:r>
    </w:p>
  </w:footnote>
  <w:footnote w:type="continuationSeparator" w:id="0">
    <w:p w14:paraId="781542EA" w14:textId="77777777" w:rsidR="00130C35" w:rsidRDefault="00130C35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E90"/>
    <w:rsid w:val="00130C35"/>
    <w:rsid w:val="00264C02"/>
    <w:rsid w:val="003E3998"/>
    <w:rsid w:val="004D42B2"/>
    <w:rsid w:val="00716622"/>
    <w:rsid w:val="009455EE"/>
    <w:rsid w:val="00A339D3"/>
    <w:rsid w:val="00A36E90"/>
    <w:rsid w:val="00C26980"/>
    <w:rsid w:val="00C717B4"/>
    <w:rsid w:val="00D140C6"/>
    <w:rsid w:val="00E2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8580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character" w:customStyle="1" w:styleId="SubttuloChar">
    <w:name w:val="Subtítulo Char"/>
    <w:basedOn w:val="Fontepargpadro"/>
    <w:link w:val="Subttulo"/>
    <w:rsid w:val="004D42B2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382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7</cp:revision>
  <dcterms:created xsi:type="dcterms:W3CDTF">2019-10-07T12:39:00Z</dcterms:created>
  <dcterms:modified xsi:type="dcterms:W3CDTF">2020-05-03T03:24:00Z</dcterms:modified>
</cp:coreProperties>
</file>