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3000"/>
        <w:gridCol w:w="7920"/>
      </w:tblGrid>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pPr>
            <w:r>
              <w:drawing>
                <wp:inline distT="0" distB="0" distL="0" distR="0">
                  <wp:extent cx="6667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 cy="276225"/>
                          </a:xfrm>
                          <a:prstGeom prst="rect">
                            <a:avLst/>
                          </a:prstGeom>
                        </pic:spPr>
                      </pic:pic>
                    </a:graphicData>
                  </a:graphic>
                </wp:inline>
              </w:drawing>
            </w:r>
            <w:r>
              <w:t xml:space="preserve">   </w:t>
            </w:r>
            <w:r>
              <w:drawing>
                <wp:inline distT="0" distB="0" distL="0" distR="0">
                  <wp:extent cx="81915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19150" cy="180975"/>
                          </a:xfrm>
                          <a:prstGeom prst="rect">
                            <a:avLst/>
                          </a:prstGeom>
                        </pic:spPr>
                      </pic:pic>
                    </a:graphicData>
                  </a:graphic>
                </wp:inline>
              </w:drawing>
            </w:r>
          </w:p>
        </w:tc>
        <w:tc>
          <w:tcPr>
            <w:tcW w:type="dxa" w:w="7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20"/>
            </w:pPr>
            <w:r>
              <w:rPr>
                <w:rFonts w:ascii="Arial" w:cs="Arial" w:eastAsia="Arial" w:hAnsi="Arial"/>
                <w:b/>
                <w:bCs/>
                <w:color w:val="782F40"/>
                <w:sz w:val="40"/>
                <w:szCs w:val="40"/>
              </w:rPr>
              <w:t xml:space="preserve">Ariadne</w:t>
            </w:r>
            <w:r>
              <w:rPr>
                <w:rFonts w:ascii="Arial" w:cs="Arial" w:eastAsia="Arial" w:hAnsi="Arial"/>
                <w:color w:val="782F40"/>
                <w:sz w:val="22"/>
                <w:szCs w:val="22"/>
              </w:rPr>
              <w:t xml:space="preserve">   One question. Answers from many sources.</w:t>
            </w:r>
          </w:p>
          <w:p>
            <w:pPr>
              <w:spacing w:after="0"/>
            </w:pPr>
            <w:r>
              <w:rPr>
                <w:rFonts w:ascii="Arial" w:cs="Arial" w:eastAsia="Arial" w:hAnsi="Arial"/>
                <w:color w:val="572932"/>
                <w:sz w:val="16"/>
                <w:szCs w:val="16"/>
              </w:rPr>
              <w:t xml:space="preserve">Technical brief · Department of Scientific Computing, Florida State University · ReliaQuest Innovation Challenge, Challenge Three: Knowledge Graph Integration · September 2026</w:t>
            </w:r>
          </w:p>
        </w:tc>
      </w:tr>
    </w:tbl>
    <w:p>
      <w:pPr>
        <w:pBdr>
          <w:bottom w:val="single" w:color="CEB888" w:sz="6"/>
        </w:pBdr>
        <w:spacing w:after="40"/>
      </w:pPr>
    </w:p>
    <w:p>
      <w:pPr>
        <w:spacing w:after="50" w:before="120"/>
      </w:pPr>
      <w:r>
        <w:rPr>
          <w:rFonts w:ascii="Arial" w:cs="Arial" w:eastAsia="Arial" w:hAnsi="Arial"/>
          <w:b/>
          <w:bCs/>
          <w:color w:val="782F40"/>
          <w:sz w:val="22"/>
          <w:szCs w:val="22"/>
        </w:rPr>
        <w:t xml:space="preserve">What it is</w:t>
      </w:r>
    </w:p>
    <w:p>
      <w:pPr>
        <w:spacing w:after="70" w:line="252"/>
      </w:pPr>
      <w:r>
        <w:rPr>
          <w:rFonts w:ascii="Arial" w:cs="Arial" w:eastAsia="Arial" w:hAnsi="Arial"/>
          <w:color w:val="101820"/>
          <w:sz w:val="18"/>
          <w:szCs w:val="18"/>
        </w:rPr>
        <w:t xml:space="preserve">Ariadne is a federated, agentic access layer over live cybersecurity knowledge graphs that sit on different database engines and speak different query languages. An analyst asks one question in plain English; Ariadne plans it across the sources, runs a native read-only query against each engine, and returns one answer in which every claim carries the record it came from and the query that retrieved it. The demonstration sources are MITRE ATT&amp;CK, held in Neo4j and queried in Cypher, and MITRE CAPEC, held in a Gremlin Server and queried in Gremlin. Nothing is merged or copied into a warehouse and no vector index is built: the sources stay where their publishers put them, and the question travels to them.</w:t>
      </w:r>
    </w:p>
    <w:p>
      <w:pPr>
        <w:spacing w:after="50" w:before="120"/>
      </w:pPr>
      <w:r>
        <w:rPr>
          <w:rFonts w:ascii="Arial" w:cs="Arial" w:eastAsia="Arial" w:hAnsi="Arial"/>
          <w:b/>
          <w:bCs/>
          <w:color w:val="782F40"/>
          <w:sz w:val="22"/>
          <w:szCs w:val="22"/>
        </w:rPr>
        <w:t xml:space="preserve">What it does</w:t>
      </w:r>
    </w:p>
    <w:p>
      <w:pPr>
        <w:spacing w:after="70" w:line="252"/>
      </w:pPr>
      <w:r>
        <w:rPr>
          <w:rFonts w:ascii="Arial" w:cs="Arial" w:eastAsia="Arial" w:hAnsi="Arial"/>
          <w:color w:val="101820"/>
          <w:sz w:val="18"/>
          <w:szCs w:val="18"/>
        </w:rPr>
        <w:t xml:space="preserve">Input: </w:t>
      </w:r>
      <w:r>
        <w:rPr>
          <w:rFonts w:ascii="Arial" w:cs="Arial" w:eastAsia="Arial" w:hAnsi="Arial"/>
          <w:color w:val="101820"/>
          <w:sz w:val="18"/>
          <w:szCs w:val="18"/>
        </w:rPr>
        <w:t xml:space="preserve">a question such as </w:t>
      </w:r>
      <w:r>
        <w:rPr>
          <w:rFonts w:ascii="Arial" w:cs="Arial" w:eastAsia="Arial" w:hAnsi="Arial"/>
          <w:color w:val="101820"/>
          <w:sz w:val="18"/>
          <w:szCs w:val="18"/>
        </w:rPr>
        <w:t xml:space="preserve">"Which ATT&amp;CK techniques does CAPEC-555 map to, and what mitigations apply?"</w:t>
      </w:r>
      <w:r>
        <w:rPr>
          <w:rFonts w:ascii="Arial" w:cs="Arial" w:eastAsia="Arial" w:hAnsi="Arial"/>
          <w:color w:val="101820"/>
          <w:sz w:val="18"/>
          <w:szCs w:val="18"/>
        </w:rPr>
        <w:t xml:space="preserve"> Output: a set of verified claims with citations, an optional plain-prose narrative written over those claims, and, when a source holds nothing, an abstention that shows the query that ran and returned no records. The analyst workbench shows the plan and its gate, one lane per database with the validated query in that database's own language, the normalised evidence, and the join index that links records across sources. Three per-question controls are off by default: </w:t>
      </w:r>
      <w:r>
        <w:rPr>
          <w:rFonts w:ascii="Arial" w:cs="Arial" w:eastAsia="Arial" w:hAnsi="Arial"/>
          <w:b/>
          <w:bCs/>
          <w:color w:val="101820"/>
          <w:sz w:val="18"/>
          <w:szCs w:val="18"/>
        </w:rPr>
        <w:t xml:space="preserve">Verify</w:t>
      </w:r>
      <w:r>
        <w:rPr>
          <w:rFonts w:ascii="Arial" w:cs="Arial" w:eastAsia="Arial" w:hAnsi="Arial"/>
          <w:color w:val="101820"/>
          <w:sz w:val="18"/>
          <w:szCs w:val="18"/>
        </w:rPr>
        <w:t xml:space="preserve"> asks a model for a second opinion on whether the evidence suffices, </w:t>
      </w:r>
      <w:r>
        <w:rPr>
          <w:rFonts w:ascii="Arial" w:cs="Arial" w:eastAsia="Arial" w:hAnsi="Arial"/>
          <w:b/>
          <w:bCs/>
          <w:color w:val="101820"/>
          <w:sz w:val="18"/>
          <w:szCs w:val="18"/>
        </w:rPr>
        <w:t xml:space="preserve">Prose</w:t>
      </w:r>
      <w:r>
        <w:rPr>
          <w:rFonts w:ascii="Arial" w:cs="Arial" w:eastAsia="Arial" w:hAnsi="Arial"/>
          <w:color w:val="101820"/>
          <w:sz w:val="18"/>
          <w:szCs w:val="18"/>
        </w:rPr>
        <w:t xml:space="preserve"> asks a model to write readable text over the verified claims, and </w:t>
      </w:r>
      <w:r>
        <w:rPr>
          <w:rFonts w:ascii="Arial" w:cs="Arial" w:eastAsia="Arial" w:hAnsi="Arial"/>
          <w:b/>
          <w:bCs/>
          <w:color w:val="101820"/>
          <w:sz w:val="18"/>
          <w:szCs w:val="18"/>
        </w:rPr>
        <w:t xml:space="preserve">Thinking</w:t>
      </w:r>
      <w:r>
        <w:rPr>
          <w:rFonts w:ascii="Arial" w:cs="Arial" w:eastAsia="Arial" w:hAnsi="Arial"/>
          <w:color w:val="101820"/>
          <w:sz w:val="18"/>
          <w:szCs w:val="18"/>
        </w:rPr>
        <w:t xml:space="preserve"> sets that model's reasoning budget. The default path is deterministic and byte-reproducible; a model may draft, but deterministic code grades every seam, and no model ever writes a query.</w:t>
      </w:r>
    </w:p>
    <w:p>
      <w:pPr>
        <w:spacing w:after="50" w:before="120"/>
      </w:pPr>
      <w:r>
        <w:rPr>
          <w:rFonts w:ascii="Arial" w:cs="Arial" w:eastAsia="Arial" w:hAnsi="Arial"/>
          <w:b/>
          <w:bCs/>
          <w:color w:val="782F40"/>
          <w:sz w:val="22"/>
          <w:szCs w:val="22"/>
        </w:rPr>
        <w:t xml:space="preserve">How it does it</w:t>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1500"/>
        <w:gridCol w:w="8020"/>
        <w:gridCol w:w="1400"/>
      </w:tblGrid>
      <w:tr>
        <w:tc>
          <w:tcPr>
            <w:tcW w:type="dxa" w:w="1500"/>
            <w:tcBorders>
              <w:top w:val="single" w:color="DFD1A7" w:sz="4"/>
              <w:left w:val="single" w:color="DFD1A7" w:sz="4"/>
              <w:bottom w:val="single" w:color="DFD1A7" w:sz="4"/>
              <w:right w:val="single" w:color="DFD1A7" w:sz="4"/>
            </w:tcBorders>
            <w:shd w:fill="782F40" w:color="auto" w:val="clear"/>
            <w:tcMar>
              <w:top w:type="dxa" w:w="40"/>
              <w:left w:type="dxa" w:w="80"/>
              <w:bottom w:type="dxa" w:w="40"/>
              <w:right w:type="dxa" w:w="80"/>
            </w:tcMar>
            <w:vAlign w:val="center"/>
          </w:tcPr>
          <w:p>
            <w:pPr>
              <w:spacing w:after="0" w:line="240"/>
            </w:pPr>
            <w:r>
              <w:rPr>
                <w:rFonts w:ascii="Arial" w:cs="Arial" w:eastAsia="Arial" w:hAnsi="Arial"/>
                <w:b/>
                <w:bCs/>
                <w:color w:val="FFFFFF"/>
                <w:sz w:val="16"/>
                <w:szCs w:val="16"/>
              </w:rPr>
              <w:t xml:space="preserve">Stage</w:t>
            </w:r>
          </w:p>
        </w:tc>
        <w:tc>
          <w:tcPr>
            <w:tcW w:type="dxa" w:w="8020"/>
            <w:tcBorders>
              <w:top w:val="single" w:color="DFD1A7" w:sz="4"/>
              <w:left w:val="single" w:color="DFD1A7" w:sz="4"/>
              <w:bottom w:val="single" w:color="DFD1A7" w:sz="4"/>
              <w:right w:val="single" w:color="DFD1A7" w:sz="4"/>
            </w:tcBorders>
            <w:shd w:fill="782F40" w:color="auto" w:val="clear"/>
            <w:tcMar>
              <w:top w:type="dxa" w:w="40"/>
              <w:left w:type="dxa" w:w="80"/>
              <w:bottom w:type="dxa" w:w="40"/>
              <w:right w:type="dxa" w:w="80"/>
            </w:tcMar>
            <w:vAlign w:val="center"/>
          </w:tcPr>
          <w:p>
            <w:pPr>
              <w:spacing w:after="0" w:line="240"/>
            </w:pPr>
            <w:r>
              <w:rPr>
                <w:rFonts w:ascii="Arial" w:cs="Arial" w:eastAsia="Arial" w:hAnsi="Arial"/>
                <w:b/>
                <w:bCs/>
                <w:color w:val="FFFFFF"/>
                <w:sz w:val="16"/>
                <w:szCs w:val="16"/>
              </w:rPr>
              <w:t xml:space="preserve">What happens</w:t>
            </w:r>
          </w:p>
        </w:tc>
        <w:tc>
          <w:tcPr>
            <w:tcW w:type="dxa" w:w="1400"/>
            <w:tcBorders>
              <w:top w:val="single" w:color="DFD1A7" w:sz="4"/>
              <w:left w:val="single" w:color="DFD1A7" w:sz="4"/>
              <w:bottom w:val="single" w:color="DFD1A7" w:sz="4"/>
              <w:right w:val="single" w:color="DFD1A7" w:sz="4"/>
            </w:tcBorders>
            <w:shd w:fill="782F40" w:color="auto" w:val="clear"/>
            <w:tcMar>
              <w:top w:type="dxa" w:w="40"/>
              <w:left w:type="dxa" w:w="80"/>
              <w:bottom w:type="dxa" w:w="40"/>
              <w:right w:type="dxa" w:w="80"/>
            </w:tcMar>
            <w:vAlign w:val="center"/>
          </w:tcPr>
          <w:p>
            <w:pPr>
              <w:spacing w:after="0" w:line="240"/>
            </w:pPr>
            <w:r>
              <w:rPr>
                <w:rFonts w:ascii="Arial" w:cs="Arial" w:eastAsia="Arial" w:hAnsi="Arial"/>
                <w:b/>
                <w:bCs/>
                <w:color w:val="FFFFFF"/>
                <w:sz w:val="16"/>
                <w:szCs w:val="16"/>
              </w:rPr>
              <w:t xml:space="preserve">Model</w:t>
            </w:r>
          </w:p>
        </w:tc>
      </w:tr>
      <w:tr>
        <w:tc>
          <w:tcPr>
            <w:tcW w:type="dxa" w:w="1500"/>
            <w:tcBorders>
              <w:top w:val="single" w:color="DFD1A7" w:sz="4"/>
              <w:left w:val="single" w:color="DFD1A7" w:sz="4"/>
              <w:bottom w:val="single" w:color="DFD1A7" w:sz="4"/>
              <w:right w:val="single" w:color="DFD1A7" w:sz="4"/>
            </w:tcBorders>
            <w:shd w:fill="FFFFFF" w:color="auto" w:val="clear"/>
            <w:tcMar>
              <w:top w:type="dxa" w:w="40"/>
              <w:left w:type="dxa" w:w="80"/>
              <w:bottom w:type="dxa" w:w="40"/>
              <w:right w:type="dxa" w:w="80"/>
            </w:tcMar>
            <w:vAlign w:val="center"/>
          </w:tcPr>
          <w:p>
            <w:pPr>
              <w:spacing w:after="0" w:line="240"/>
            </w:pPr>
            <w:r>
              <w:rPr>
                <w:rFonts w:ascii="Arial" w:cs="Arial" w:eastAsia="Arial" w:hAnsi="Arial"/>
                <w:b/>
                <w:bCs/>
                <w:color w:val="782F40"/>
                <w:sz w:val="16"/>
                <w:szCs w:val="16"/>
              </w:rPr>
              <w:t xml:space="preserve">Source cards</w:t>
            </w:r>
          </w:p>
        </w:tc>
        <w:tc>
          <w:tcPr>
            <w:tcW w:type="dxa" w:w="8020"/>
            <w:tcBorders>
              <w:top w:val="single" w:color="DFD1A7" w:sz="4"/>
              <w:left w:val="single" w:color="DFD1A7" w:sz="4"/>
              <w:bottom w:val="single" w:color="DFD1A7" w:sz="4"/>
              <w:right w:val="single" w:color="DFD1A7" w:sz="4"/>
            </w:tcBorders>
            <w:shd w:fill="FFFFFF" w:color="auto" w:val="clear"/>
            <w:tcMar>
              <w:top w:type="dxa" w:w="40"/>
              <w:left w:type="dxa" w:w="80"/>
              <w:bottom w:type="dxa" w:w="40"/>
              <w:right w:type="dxa" w:w="80"/>
            </w:tcMar>
            <w:vAlign w:val="center"/>
          </w:tcPr>
          <w:p>
            <w:pPr>
              <w:spacing w:after="0" w:line="240"/>
            </w:pPr>
            <w:r>
              <w:rPr>
                <w:rFonts w:ascii="Arial" w:cs="Arial" w:eastAsia="Arial" w:hAnsi="Arial"/>
                <w:color w:val="101820"/>
                <w:sz w:val="16"/>
                <w:szCs w:val="16"/>
              </w:rPr>
              <w:t xml:space="preserve">One JSON sheet per database, generated from the live schema: node labels, relationship types, properties, declared join keys, safety limits (read-only, max depth, max rows, timeout) and provenance pinned to a snapshot hash. The planner routes only on what a card declares.</w:t>
            </w:r>
          </w:p>
        </w:tc>
        <w:tc>
          <w:tcPr>
            <w:tcW w:type="dxa" w:w="1400"/>
            <w:tcBorders>
              <w:top w:val="single" w:color="DFD1A7" w:sz="4"/>
              <w:left w:val="single" w:color="DFD1A7" w:sz="4"/>
              <w:bottom w:val="single" w:color="DFD1A7" w:sz="4"/>
              <w:right w:val="single" w:color="DFD1A7" w:sz="4"/>
            </w:tcBorders>
            <w:shd w:fill="FFFFFF" w:color="auto" w:val="clear"/>
            <w:tcMar>
              <w:top w:type="dxa" w:w="40"/>
              <w:left w:type="dxa" w:w="80"/>
              <w:bottom w:type="dxa" w:w="40"/>
              <w:right w:type="dxa" w:w="80"/>
            </w:tcMar>
            <w:vAlign w:val="center"/>
          </w:tcPr>
          <w:p>
            <w:pPr>
              <w:spacing w:after="0" w:line="240"/>
            </w:pPr>
            <w:r>
              <w:rPr>
                <w:rFonts w:ascii="Arial" w:cs="Arial" w:eastAsia="Arial" w:hAnsi="Arial"/>
                <w:color w:val="101820"/>
                <w:sz w:val="16"/>
                <w:szCs w:val="16"/>
              </w:rPr>
              <w:t xml:space="preserve">none</w:t>
            </w:r>
          </w:p>
        </w:tc>
      </w:tr>
      <w:tr>
        <w:tc>
          <w:tcPr>
            <w:tcW w:type="dxa" w:w="1500"/>
            <w:tcBorders>
              <w:top w:val="single" w:color="DFD1A7" w:sz="4"/>
              <w:left w:val="single" w:color="DFD1A7" w:sz="4"/>
              <w:bottom w:val="single" w:color="DFD1A7" w:sz="4"/>
              <w:right w:val="single" w:color="DFD1A7" w:sz="4"/>
            </w:tcBorders>
            <w:shd w:fill="F7F3EA" w:color="auto" w:val="clear"/>
            <w:tcMar>
              <w:top w:type="dxa" w:w="40"/>
              <w:left w:type="dxa" w:w="80"/>
              <w:bottom w:type="dxa" w:w="40"/>
              <w:right w:type="dxa" w:w="80"/>
            </w:tcMar>
            <w:vAlign w:val="center"/>
          </w:tcPr>
          <w:p>
            <w:pPr>
              <w:spacing w:after="0" w:line="240"/>
            </w:pPr>
            <w:r>
              <w:rPr>
                <w:rFonts w:ascii="Arial" w:cs="Arial" w:eastAsia="Arial" w:hAnsi="Arial"/>
                <w:b/>
                <w:bCs/>
                <w:color w:val="782F40"/>
                <w:sz w:val="16"/>
                <w:szCs w:val="16"/>
              </w:rPr>
              <w:t xml:space="preserve">Discovery</w:t>
            </w:r>
          </w:p>
        </w:tc>
        <w:tc>
          <w:tcPr>
            <w:tcW w:type="dxa" w:w="8020"/>
            <w:tcBorders>
              <w:top w:val="single" w:color="DFD1A7" w:sz="4"/>
              <w:left w:val="single" w:color="DFD1A7" w:sz="4"/>
              <w:bottom w:val="single" w:color="DFD1A7" w:sz="4"/>
              <w:right w:val="single" w:color="DFD1A7" w:sz="4"/>
            </w:tcBorders>
            <w:shd w:fill="F7F3EA" w:color="auto" w:val="clear"/>
            <w:tcMar>
              <w:top w:type="dxa" w:w="40"/>
              <w:left w:type="dxa" w:w="80"/>
              <w:bottom w:type="dxa" w:w="40"/>
              <w:right w:type="dxa" w:w="80"/>
            </w:tcMar>
            <w:vAlign w:val="center"/>
          </w:tcPr>
          <w:p>
            <w:pPr>
              <w:spacing w:after="0" w:line="240"/>
            </w:pPr>
            <w:r>
              <w:rPr>
                <w:rFonts w:ascii="Arial" w:cs="Arial" w:eastAsia="Arial" w:hAnsi="Arial"/>
                <w:color w:val="101820"/>
                <w:sz w:val="16"/>
                <w:szCs w:val="16"/>
              </w:rPr>
              <w:t xml:space="preserve">Each request probes every source: reachable, loaded, expected labels present. A source that is down is reported with a reason and its part of the plan is marked unsupported rather than invented.</w:t>
            </w:r>
          </w:p>
        </w:tc>
        <w:tc>
          <w:tcPr>
            <w:tcW w:type="dxa" w:w="1400"/>
            <w:tcBorders>
              <w:top w:val="single" w:color="DFD1A7" w:sz="4"/>
              <w:left w:val="single" w:color="DFD1A7" w:sz="4"/>
              <w:bottom w:val="single" w:color="DFD1A7" w:sz="4"/>
              <w:right w:val="single" w:color="DFD1A7" w:sz="4"/>
            </w:tcBorders>
            <w:shd w:fill="F7F3EA" w:color="auto" w:val="clear"/>
            <w:tcMar>
              <w:top w:type="dxa" w:w="40"/>
              <w:left w:type="dxa" w:w="80"/>
              <w:bottom w:type="dxa" w:w="40"/>
              <w:right w:type="dxa" w:w="80"/>
            </w:tcMar>
            <w:vAlign w:val="center"/>
          </w:tcPr>
          <w:p>
            <w:pPr>
              <w:spacing w:after="0" w:line="240"/>
            </w:pPr>
            <w:r>
              <w:rPr>
                <w:rFonts w:ascii="Arial" w:cs="Arial" w:eastAsia="Arial" w:hAnsi="Arial"/>
                <w:color w:val="101820"/>
                <w:sz w:val="16"/>
                <w:szCs w:val="16"/>
              </w:rPr>
              <w:t xml:space="preserve">none</w:t>
            </w:r>
          </w:p>
        </w:tc>
      </w:tr>
      <w:tr>
        <w:tc>
          <w:tcPr>
            <w:tcW w:type="dxa" w:w="1500"/>
            <w:tcBorders>
              <w:top w:val="single" w:color="DFD1A7" w:sz="4"/>
              <w:left w:val="single" w:color="DFD1A7" w:sz="4"/>
              <w:bottom w:val="single" w:color="DFD1A7" w:sz="4"/>
              <w:right w:val="single" w:color="DFD1A7" w:sz="4"/>
            </w:tcBorders>
            <w:shd w:fill="FFFFFF" w:color="auto" w:val="clear"/>
            <w:tcMar>
              <w:top w:type="dxa" w:w="40"/>
              <w:left w:type="dxa" w:w="80"/>
              <w:bottom w:type="dxa" w:w="40"/>
              <w:right w:type="dxa" w:w="80"/>
            </w:tcMar>
            <w:vAlign w:val="center"/>
          </w:tcPr>
          <w:p>
            <w:pPr>
              <w:spacing w:after="0" w:line="240"/>
            </w:pPr>
            <w:r>
              <w:rPr>
                <w:rFonts w:ascii="Arial" w:cs="Arial" w:eastAsia="Arial" w:hAnsi="Arial"/>
                <w:b/>
                <w:bCs/>
                <w:color w:val="782F40"/>
                <w:sz w:val="16"/>
                <w:szCs w:val="16"/>
              </w:rPr>
              <w:t xml:space="preserve">Planner</w:t>
            </w:r>
          </w:p>
        </w:tc>
        <w:tc>
          <w:tcPr>
            <w:tcW w:type="dxa" w:w="8020"/>
            <w:tcBorders>
              <w:top w:val="single" w:color="DFD1A7" w:sz="4"/>
              <w:left w:val="single" w:color="DFD1A7" w:sz="4"/>
              <w:bottom w:val="single" w:color="DFD1A7" w:sz="4"/>
              <w:right w:val="single" w:color="DFD1A7" w:sz="4"/>
            </w:tcBorders>
            <w:shd w:fill="FFFFFF" w:color="auto" w:val="clear"/>
            <w:tcMar>
              <w:top w:type="dxa" w:w="40"/>
              <w:left w:type="dxa" w:w="80"/>
              <w:bottom w:type="dxa" w:w="40"/>
              <w:right w:type="dxa" w:w="80"/>
            </w:tcMar>
            <w:vAlign w:val="center"/>
          </w:tcPr>
          <w:p>
            <w:pPr>
              <w:spacing w:after="0" w:line="240"/>
            </w:pPr>
            <w:r>
              <w:rPr>
                <w:rFonts w:ascii="Arial" w:cs="Arial" w:eastAsia="Arial" w:hAnsi="Arial"/>
                <w:color w:val="101820"/>
                <w:sz w:val="16"/>
                <w:szCs w:val="16"/>
              </w:rPr>
              <w:t xml:space="preserve">Classifies the intent, drafts per-source sub-questions and declared joins, and passes the draft through a deterministic gate that rejects any label, edge, join or limit the cards do not declare. A rewrite stage may canonicalise questions that cite no identifier; the model only picks from a closed candidate list and never chooses the entity.</w:t>
            </w:r>
          </w:p>
        </w:tc>
        <w:tc>
          <w:tcPr>
            <w:tcW w:type="dxa" w:w="1400"/>
            <w:tcBorders>
              <w:top w:val="single" w:color="DFD1A7" w:sz="4"/>
              <w:left w:val="single" w:color="DFD1A7" w:sz="4"/>
              <w:bottom w:val="single" w:color="DFD1A7" w:sz="4"/>
              <w:right w:val="single" w:color="DFD1A7" w:sz="4"/>
            </w:tcBorders>
            <w:shd w:fill="FFFFFF" w:color="auto" w:val="clear"/>
            <w:tcMar>
              <w:top w:type="dxa" w:w="40"/>
              <w:left w:type="dxa" w:w="80"/>
              <w:bottom w:type="dxa" w:w="40"/>
              <w:right w:type="dxa" w:w="80"/>
            </w:tcMar>
            <w:vAlign w:val="center"/>
          </w:tcPr>
          <w:p>
            <w:pPr>
              <w:spacing w:after="0" w:line="240"/>
            </w:pPr>
            <w:r>
              <w:rPr>
                <w:rFonts w:ascii="Arial" w:cs="Arial" w:eastAsia="Arial" w:hAnsi="Arial"/>
                <w:color w:val="101820"/>
                <w:sz w:val="16"/>
                <w:szCs w:val="16"/>
              </w:rPr>
              <w:t xml:space="preserve">optional, gated</w:t>
            </w:r>
          </w:p>
        </w:tc>
      </w:tr>
      <w:tr>
        <w:tc>
          <w:tcPr>
            <w:tcW w:type="dxa" w:w="1500"/>
            <w:tcBorders>
              <w:top w:val="single" w:color="DFD1A7" w:sz="4"/>
              <w:left w:val="single" w:color="DFD1A7" w:sz="4"/>
              <w:bottom w:val="single" w:color="DFD1A7" w:sz="4"/>
              <w:right w:val="single" w:color="DFD1A7" w:sz="4"/>
            </w:tcBorders>
            <w:shd w:fill="F7F3EA" w:color="auto" w:val="clear"/>
            <w:tcMar>
              <w:top w:type="dxa" w:w="40"/>
              <w:left w:type="dxa" w:w="80"/>
              <w:bottom w:type="dxa" w:w="40"/>
              <w:right w:type="dxa" w:w="80"/>
            </w:tcMar>
            <w:vAlign w:val="center"/>
          </w:tcPr>
          <w:p>
            <w:pPr>
              <w:spacing w:after="0" w:line="240"/>
            </w:pPr>
            <w:r>
              <w:rPr>
                <w:rFonts w:ascii="Arial" w:cs="Arial" w:eastAsia="Arial" w:hAnsi="Arial"/>
                <w:b/>
                <w:bCs/>
                <w:color w:val="782F40"/>
                <w:sz w:val="16"/>
                <w:szCs w:val="16"/>
              </w:rPr>
              <w:t xml:space="preserve">Specialists</w:t>
            </w:r>
          </w:p>
        </w:tc>
        <w:tc>
          <w:tcPr>
            <w:tcW w:type="dxa" w:w="8020"/>
            <w:tcBorders>
              <w:top w:val="single" w:color="DFD1A7" w:sz="4"/>
              <w:left w:val="single" w:color="DFD1A7" w:sz="4"/>
              <w:bottom w:val="single" w:color="DFD1A7" w:sz="4"/>
              <w:right w:val="single" w:color="DFD1A7" w:sz="4"/>
            </w:tcBorders>
            <w:shd w:fill="F7F3EA" w:color="auto" w:val="clear"/>
            <w:tcMar>
              <w:top w:type="dxa" w:w="40"/>
              <w:left w:type="dxa" w:w="80"/>
              <w:bottom w:type="dxa" w:w="40"/>
              <w:right w:type="dxa" w:w="80"/>
            </w:tcMar>
            <w:vAlign w:val="center"/>
          </w:tcPr>
          <w:p>
            <w:pPr>
              <w:spacing w:after="0" w:line="240"/>
            </w:pPr>
            <w:r>
              <w:rPr>
                <w:rFonts w:ascii="Arial" w:cs="Arial" w:eastAsia="Arial" w:hAnsi="Arial"/>
                <w:color w:val="101820"/>
                <w:sz w:val="16"/>
                <w:szCs w:val="16"/>
              </w:rPr>
              <w:t xml:space="preserve">One per database. Resolves the entities against the card, composes the query from five schema-derived primitives (describe, neighbors, walk, chain, bridge), validates it before execution (read-only, card-declared labels and edges, bounded depth and rows), executes once under a timeout, and normalises every record with provenance: source, executed query, record id, timestamp.</w:t>
            </w:r>
          </w:p>
        </w:tc>
        <w:tc>
          <w:tcPr>
            <w:tcW w:type="dxa" w:w="1400"/>
            <w:tcBorders>
              <w:top w:val="single" w:color="DFD1A7" w:sz="4"/>
              <w:left w:val="single" w:color="DFD1A7" w:sz="4"/>
              <w:bottom w:val="single" w:color="DFD1A7" w:sz="4"/>
              <w:right w:val="single" w:color="DFD1A7" w:sz="4"/>
            </w:tcBorders>
            <w:shd w:fill="F7F3EA" w:color="auto" w:val="clear"/>
            <w:tcMar>
              <w:top w:type="dxa" w:w="40"/>
              <w:left w:type="dxa" w:w="80"/>
              <w:bottom w:type="dxa" w:w="40"/>
              <w:right w:type="dxa" w:w="80"/>
            </w:tcMar>
            <w:vAlign w:val="center"/>
          </w:tcPr>
          <w:p>
            <w:pPr>
              <w:spacing w:after="0" w:line="240"/>
            </w:pPr>
            <w:r>
              <w:rPr>
                <w:rFonts w:ascii="Arial" w:cs="Arial" w:eastAsia="Arial" w:hAnsi="Arial"/>
                <w:color w:val="101820"/>
                <w:sz w:val="16"/>
                <w:szCs w:val="16"/>
              </w:rPr>
              <w:t xml:space="preserve">none</w:t>
            </w:r>
          </w:p>
        </w:tc>
      </w:tr>
      <w:tr>
        <w:tc>
          <w:tcPr>
            <w:tcW w:type="dxa" w:w="1500"/>
            <w:tcBorders>
              <w:top w:val="single" w:color="DFD1A7" w:sz="4"/>
              <w:left w:val="single" w:color="DFD1A7" w:sz="4"/>
              <w:bottom w:val="single" w:color="DFD1A7" w:sz="4"/>
              <w:right w:val="single" w:color="DFD1A7" w:sz="4"/>
            </w:tcBorders>
            <w:shd w:fill="FFFFFF" w:color="auto" w:val="clear"/>
            <w:tcMar>
              <w:top w:type="dxa" w:w="40"/>
              <w:left w:type="dxa" w:w="80"/>
              <w:bottom w:type="dxa" w:w="40"/>
              <w:right w:type="dxa" w:w="80"/>
            </w:tcMar>
            <w:vAlign w:val="center"/>
          </w:tcPr>
          <w:p>
            <w:pPr>
              <w:spacing w:after="0" w:line="240"/>
            </w:pPr>
            <w:r>
              <w:rPr>
                <w:rFonts w:ascii="Arial" w:cs="Arial" w:eastAsia="Arial" w:hAnsi="Arial"/>
                <w:b/>
                <w:bCs/>
                <w:color w:val="782F40"/>
                <w:sz w:val="16"/>
                <w:szCs w:val="16"/>
              </w:rPr>
              <w:t xml:space="preserve">Retrieval loop</w:t>
            </w:r>
          </w:p>
        </w:tc>
        <w:tc>
          <w:tcPr>
            <w:tcW w:type="dxa" w:w="8020"/>
            <w:tcBorders>
              <w:top w:val="single" w:color="DFD1A7" w:sz="4"/>
              <w:left w:val="single" w:color="DFD1A7" w:sz="4"/>
              <w:bottom w:val="single" w:color="DFD1A7" w:sz="4"/>
              <w:right w:val="single" w:color="DFD1A7" w:sz="4"/>
            </w:tcBorders>
            <w:shd w:fill="FFFFFF" w:color="auto" w:val="clear"/>
            <w:tcMar>
              <w:top w:type="dxa" w:w="40"/>
              <w:left w:type="dxa" w:w="80"/>
              <w:bottom w:type="dxa" w:w="40"/>
              <w:right w:type="dxa" w:w="80"/>
            </w:tcMar>
            <w:vAlign w:val="center"/>
          </w:tcPr>
          <w:p>
            <w:pPr>
              <w:spacing w:after="0" w:line="240"/>
            </w:pPr>
            <w:r>
              <w:rPr>
                <w:rFonts w:ascii="Arial" w:cs="Arial" w:eastAsia="Arial" w:hAnsi="Arial"/>
                <w:color w:val="101820"/>
                <w:sz w:val="16"/>
                <w:szCs w:val="16"/>
              </w:rPr>
              <w:t xml:space="preserve">Judges whether the evidence closes the question; grafts only the missing sub-questions onto the plan; re-runs them seeded from what was already found; capped at five rounds and a total deadline.</w:t>
            </w:r>
          </w:p>
        </w:tc>
        <w:tc>
          <w:tcPr>
            <w:tcW w:type="dxa" w:w="1400"/>
            <w:tcBorders>
              <w:top w:val="single" w:color="DFD1A7" w:sz="4"/>
              <w:left w:val="single" w:color="DFD1A7" w:sz="4"/>
              <w:bottom w:val="single" w:color="DFD1A7" w:sz="4"/>
              <w:right w:val="single" w:color="DFD1A7" w:sz="4"/>
            </w:tcBorders>
            <w:shd w:fill="FFFFFF" w:color="auto" w:val="clear"/>
            <w:tcMar>
              <w:top w:type="dxa" w:w="40"/>
              <w:left w:type="dxa" w:w="80"/>
              <w:bottom w:type="dxa" w:w="40"/>
              <w:right w:type="dxa" w:w="80"/>
            </w:tcMar>
            <w:vAlign w:val="center"/>
          </w:tcPr>
          <w:p>
            <w:pPr>
              <w:spacing w:after="0" w:line="240"/>
            </w:pPr>
            <w:r>
              <w:rPr>
                <w:rFonts w:ascii="Arial" w:cs="Arial" w:eastAsia="Arial" w:hAnsi="Arial"/>
                <w:color w:val="101820"/>
                <w:sz w:val="16"/>
                <w:szCs w:val="16"/>
              </w:rPr>
              <w:t xml:space="preserve">none</w:t>
            </w:r>
          </w:p>
        </w:tc>
      </w:tr>
      <w:tr>
        <w:tc>
          <w:tcPr>
            <w:tcW w:type="dxa" w:w="1500"/>
            <w:tcBorders>
              <w:top w:val="single" w:color="DFD1A7" w:sz="4"/>
              <w:left w:val="single" w:color="DFD1A7" w:sz="4"/>
              <w:bottom w:val="single" w:color="DFD1A7" w:sz="4"/>
              <w:right w:val="single" w:color="DFD1A7" w:sz="4"/>
            </w:tcBorders>
            <w:shd w:fill="F7F3EA" w:color="auto" w:val="clear"/>
            <w:tcMar>
              <w:top w:type="dxa" w:w="40"/>
              <w:left w:type="dxa" w:w="80"/>
              <w:bottom w:type="dxa" w:w="40"/>
              <w:right w:type="dxa" w:w="80"/>
            </w:tcMar>
            <w:vAlign w:val="center"/>
          </w:tcPr>
          <w:p>
            <w:pPr>
              <w:spacing w:after="0" w:line="240"/>
            </w:pPr>
            <w:r>
              <w:rPr>
                <w:rFonts w:ascii="Arial" w:cs="Arial" w:eastAsia="Arial" w:hAnsi="Arial"/>
                <w:b/>
                <w:bCs/>
                <w:color w:val="782F40"/>
                <w:sz w:val="16"/>
                <w:szCs w:val="16"/>
              </w:rPr>
              <w:t xml:space="preserve">Synthesis</w:t>
            </w:r>
          </w:p>
        </w:tc>
        <w:tc>
          <w:tcPr>
            <w:tcW w:type="dxa" w:w="8020"/>
            <w:tcBorders>
              <w:top w:val="single" w:color="DFD1A7" w:sz="4"/>
              <w:left w:val="single" w:color="DFD1A7" w:sz="4"/>
              <w:bottom w:val="single" w:color="DFD1A7" w:sz="4"/>
              <w:right w:val="single" w:color="DFD1A7" w:sz="4"/>
            </w:tcBorders>
            <w:shd w:fill="F7F3EA" w:color="auto" w:val="clear"/>
            <w:tcMar>
              <w:top w:type="dxa" w:w="40"/>
              <w:left w:type="dxa" w:w="80"/>
              <w:bottom w:type="dxa" w:w="40"/>
              <w:right w:type="dxa" w:w="80"/>
            </w:tcMar>
            <w:vAlign w:val="center"/>
          </w:tcPr>
          <w:p>
            <w:pPr>
              <w:spacing w:after="0" w:line="240"/>
            </w:pPr>
            <w:r>
              <w:rPr>
                <w:rFonts w:ascii="Arial" w:cs="Arial" w:eastAsia="Arial" w:hAnsi="Arial"/>
                <w:color w:val="101820"/>
                <w:sz w:val="16"/>
                <w:szCs w:val="16"/>
              </w:rPr>
              <w:t xml:space="preserve">Composes claims from retrieved records; a verifier checks each through four gates: cited, resolvable, grounded, correlated. What fails is cut from the prose and kept flagged. An empty result becomes an abstention carrying the executed query as proof; conflicts between sources are flagged, never silently resolved.</w:t>
            </w:r>
          </w:p>
        </w:tc>
        <w:tc>
          <w:tcPr>
            <w:tcW w:type="dxa" w:w="1400"/>
            <w:tcBorders>
              <w:top w:val="single" w:color="DFD1A7" w:sz="4"/>
              <w:left w:val="single" w:color="DFD1A7" w:sz="4"/>
              <w:bottom w:val="single" w:color="DFD1A7" w:sz="4"/>
              <w:right w:val="single" w:color="DFD1A7" w:sz="4"/>
            </w:tcBorders>
            <w:shd w:fill="F7F3EA" w:color="auto" w:val="clear"/>
            <w:tcMar>
              <w:top w:type="dxa" w:w="40"/>
              <w:left w:type="dxa" w:w="80"/>
              <w:bottom w:type="dxa" w:w="40"/>
              <w:right w:type="dxa" w:w="80"/>
            </w:tcMar>
            <w:vAlign w:val="center"/>
          </w:tcPr>
          <w:p>
            <w:pPr>
              <w:spacing w:after="0" w:line="240"/>
            </w:pPr>
            <w:r>
              <w:rPr>
                <w:rFonts w:ascii="Arial" w:cs="Arial" w:eastAsia="Arial" w:hAnsi="Arial"/>
                <w:color w:val="101820"/>
                <w:sz w:val="16"/>
                <w:szCs w:val="16"/>
              </w:rPr>
              <w:t xml:space="preserve">narrator optional; it cannot add a claim</w:t>
            </w:r>
          </w:p>
        </w:tc>
      </w:tr>
    </w:tbl>
    <w:p>
      <w:pPr>
        <w:spacing w:after="50" w:before="120"/>
      </w:pPr>
      <w:r>
        <w:rPr>
          <w:rFonts w:ascii="Arial" w:cs="Arial" w:eastAsia="Arial" w:hAnsi="Arial"/>
          <w:b/>
          <w:bCs/>
          <w:color w:val="782F40"/>
          <w:sz w:val="22"/>
          <w:szCs w:val="22"/>
        </w:rPr>
        <w:t xml:space="preserve">Structural facts</w:t>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2900"/>
        <w:gridCol w:w="8020"/>
      </w:tblGrid>
      <w:tr>
        <w:tc>
          <w:tcPr>
            <w:tcW w:type="dxa" w:w="2900"/>
            <w:tcBorders>
              <w:top w:val="single" w:color="DFD1A7" w:sz="4"/>
              <w:left w:val="single" w:color="DFD1A7" w:sz="4"/>
              <w:bottom w:val="single" w:color="DFD1A7" w:sz="4"/>
              <w:right w:val="single" w:color="DFD1A7" w:sz="4"/>
            </w:tcBorders>
            <w:shd w:fill="FFFFFF" w:color="auto" w:val="clear"/>
            <w:tcMar>
              <w:top w:type="dxa" w:w="40"/>
              <w:left w:type="dxa" w:w="80"/>
              <w:bottom w:type="dxa" w:w="40"/>
              <w:right w:type="dxa" w:w="80"/>
            </w:tcMar>
            <w:vAlign w:val="center"/>
          </w:tcPr>
          <w:p>
            <w:pPr>
              <w:spacing w:after="0" w:line="240"/>
            </w:pPr>
            <w:r>
              <w:rPr>
                <w:rFonts w:ascii="Arial" w:cs="Arial" w:eastAsia="Arial" w:hAnsi="Arial"/>
                <w:b/>
                <w:bCs/>
                <w:color w:val="782F40"/>
                <w:sz w:val="16"/>
                <w:szCs w:val="16"/>
              </w:rPr>
              <w:t xml:space="preserve">3 databases · 2 query languages · 1 process</w:t>
            </w:r>
          </w:p>
        </w:tc>
        <w:tc>
          <w:tcPr>
            <w:tcW w:type="dxa" w:w="8020"/>
            <w:tcBorders>
              <w:top w:val="single" w:color="DFD1A7" w:sz="4"/>
              <w:left w:val="single" w:color="DFD1A7" w:sz="4"/>
              <w:bottom w:val="single" w:color="DFD1A7" w:sz="4"/>
              <w:right w:val="single" w:color="DFD1A7" w:sz="4"/>
            </w:tcBorders>
            <w:shd w:fill="FFFFFF" w:color="auto" w:val="clear"/>
            <w:tcMar>
              <w:top w:type="dxa" w:w="40"/>
              <w:left w:type="dxa" w:w="80"/>
              <w:bottom w:type="dxa" w:w="40"/>
              <w:right w:type="dxa" w:w="80"/>
            </w:tcMar>
            <w:vAlign w:val="center"/>
          </w:tcPr>
          <w:p>
            <w:pPr>
              <w:spacing w:after="0" w:line="240"/>
            </w:pPr>
            <w:r>
              <w:rPr>
                <w:rFonts w:ascii="Arial" w:cs="Arial" w:eastAsia="Arial" w:hAnsi="Arial"/>
                <w:color w:val="101820"/>
                <w:sz w:val="16"/>
                <w:szCs w:val="16"/>
              </w:rPr>
              <w:t xml:space="preserve">ATT&amp;CK (Neo4j), CAPEC (Gremlin Server) and an identity graph (Neo4j) answered live in one process; adding the third changed nothing about the questions.</w:t>
            </w:r>
          </w:p>
        </w:tc>
      </w:tr>
      <w:tr>
        <w:tc>
          <w:tcPr>
            <w:tcW w:type="dxa" w:w="2900"/>
            <w:tcBorders>
              <w:top w:val="single" w:color="DFD1A7" w:sz="4"/>
              <w:left w:val="single" w:color="DFD1A7" w:sz="4"/>
              <w:bottom w:val="single" w:color="DFD1A7" w:sz="4"/>
              <w:right w:val="single" w:color="DFD1A7" w:sz="4"/>
            </w:tcBorders>
            <w:shd w:fill="FFFFFF" w:color="auto" w:val="clear"/>
            <w:tcMar>
              <w:top w:type="dxa" w:w="40"/>
              <w:left w:type="dxa" w:w="80"/>
              <w:bottom w:type="dxa" w:w="40"/>
              <w:right w:type="dxa" w:w="80"/>
            </w:tcMar>
            <w:vAlign w:val="center"/>
          </w:tcPr>
          <w:p>
            <w:pPr>
              <w:spacing w:after="0" w:line="240"/>
            </w:pPr>
            <w:r>
              <w:rPr>
                <w:rFonts w:ascii="Arial" w:cs="Arial" w:eastAsia="Arial" w:hAnsi="Arial"/>
                <w:b/>
                <w:bCs/>
                <w:color w:val="782F40"/>
                <w:sz w:val="16"/>
                <w:szCs w:val="16"/>
              </w:rPr>
              <w:t xml:space="preserve">0 vs 1,083 records rewritten</w:t>
            </w:r>
          </w:p>
        </w:tc>
        <w:tc>
          <w:tcPr>
            <w:tcW w:type="dxa" w:w="8020"/>
            <w:tcBorders>
              <w:top w:val="single" w:color="DFD1A7" w:sz="4"/>
              <w:left w:val="single" w:color="DFD1A7" w:sz="4"/>
              <w:bottom w:val="single" w:color="DFD1A7" w:sz="4"/>
              <w:right w:val="single" w:color="DFD1A7" w:sz="4"/>
            </w:tcBorders>
            <w:shd w:fill="FFFFFF" w:color="auto" w:val="clear"/>
            <w:tcMar>
              <w:top w:type="dxa" w:w="40"/>
              <w:left w:type="dxa" w:w="80"/>
              <w:bottom w:type="dxa" w:w="40"/>
              <w:right w:type="dxa" w:w="80"/>
            </w:tcMar>
            <w:vAlign w:val="center"/>
          </w:tcPr>
          <w:p>
            <w:pPr>
              <w:spacing w:after="0" w:line="240"/>
            </w:pPr>
            <w:r>
              <w:rPr>
                <w:rFonts w:ascii="Arial" w:cs="Arial" w:eastAsia="Arial" w:hAnsi="Arial"/>
                <w:color w:val="101820"/>
                <w:sz w:val="16"/>
                <w:szCs w:val="16"/>
              </w:rPr>
              <w:t xml:space="preserve">Federating left both catalogues as published. Merging ATT&amp;CK and CAPEC into one store required editing 1,083 of 9,138 nodes, an edit that must be redone every release.</w:t>
            </w:r>
          </w:p>
        </w:tc>
      </w:tr>
      <w:tr>
        <w:tc>
          <w:tcPr>
            <w:tcW w:type="dxa" w:w="2900"/>
            <w:tcBorders>
              <w:top w:val="single" w:color="DFD1A7" w:sz="4"/>
              <w:left w:val="single" w:color="DFD1A7" w:sz="4"/>
              <w:bottom w:val="single" w:color="DFD1A7" w:sz="4"/>
              <w:right w:val="single" w:color="DFD1A7" w:sz="4"/>
            </w:tcBorders>
            <w:shd w:fill="FFFFFF" w:color="auto" w:val="clear"/>
            <w:tcMar>
              <w:top w:type="dxa" w:w="40"/>
              <w:left w:type="dxa" w:w="80"/>
              <w:bottom w:type="dxa" w:w="40"/>
              <w:right w:type="dxa" w:w="80"/>
            </w:tcMar>
            <w:vAlign w:val="center"/>
          </w:tcPr>
          <w:p>
            <w:pPr>
              <w:spacing w:after="0" w:line="240"/>
            </w:pPr>
            <w:r>
              <w:rPr>
                <w:rFonts w:ascii="Arial" w:cs="Arial" w:eastAsia="Arial" w:hAnsi="Arial"/>
                <w:b/>
                <w:bCs/>
                <w:color w:val="782F40"/>
                <w:sz w:val="16"/>
                <w:szCs w:val="16"/>
              </w:rPr>
              <w:t xml:space="preserve">240 / 240 adversarial queries blocked</w:t>
            </w:r>
          </w:p>
        </w:tc>
        <w:tc>
          <w:tcPr>
            <w:tcW w:type="dxa" w:w="8020"/>
            <w:tcBorders>
              <w:top w:val="single" w:color="DFD1A7" w:sz="4"/>
              <w:left w:val="single" w:color="DFD1A7" w:sz="4"/>
              <w:bottom w:val="single" w:color="DFD1A7" w:sz="4"/>
              <w:right w:val="single" w:color="DFD1A7" w:sz="4"/>
            </w:tcBorders>
            <w:shd w:fill="FFFFFF" w:color="auto" w:val="clear"/>
            <w:tcMar>
              <w:top w:type="dxa" w:w="40"/>
              <w:left w:type="dxa" w:w="80"/>
              <w:bottom w:type="dxa" w:w="40"/>
              <w:right w:type="dxa" w:w="80"/>
            </w:tcMar>
            <w:vAlign w:val="center"/>
          </w:tcPr>
          <w:p>
            <w:pPr>
              <w:spacing w:after="0" w:line="240"/>
            </w:pPr>
            <w:r>
              <w:rPr>
                <w:rFonts w:ascii="Arial" w:cs="Arial" w:eastAsia="Arial" w:hAnsi="Arial"/>
                <w:color w:val="101820"/>
                <w:sz w:val="16"/>
                <w:szCs w:val="16"/>
              </w:rPr>
              <w:t xml:space="preserve">Generated by crossing rejection categories with syntactic mutations; 15 real bypasses were found and closed before the audit reached 240 of 240.</w:t>
            </w:r>
          </w:p>
        </w:tc>
      </w:tr>
      <w:tr>
        <w:tc>
          <w:tcPr>
            <w:tcW w:type="dxa" w:w="2900"/>
            <w:tcBorders>
              <w:top w:val="single" w:color="DFD1A7" w:sz="4"/>
              <w:left w:val="single" w:color="DFD1A7" w:sz="4"/>
              <w:bottom w:val="single" w:color="DFD1A7" w:sz="4"/>
              <w:right w:val="single" w:color="DFD1A7" w:sz="4"/>
            </w:tcBorders>
            <w:shd w:fill="FFFFFF" w:color="auto" w:val="clear"/>
            <w:tcMar>
              <w:top w:type="dxa" w:w="40"/>
              <w:left w:type="dxa" w:w="80"/>
              <w:bottom w:type="dxa" w:w="40"/>
              <w:right w:type="dxa" w:w="80"/>
            </w:tcMar>
            <w:vAlign w:val="center"/>
          </w:tcPr>
          <w:p>
            <w:pPr>
              <w:spacing w:after="0" w:line="240"/>
            </w:pPr>
            <w:r>
              <w:rPr>
                <w:rFonts w:ascii="Arial" w:cs="Arial" w:eastAsia="Arial" w:hAnsi="Arial"/>
                <w:b/>
                <w:bCs/>
                <w:color w:val="782F40"/>
                <w:sz w:val="16"/>
                <w:szCs w:val="16"/>
              </w:rPr>
              <w:t xml:space="preserve">39 KB card · 19.9 MB graph</w:t>
            </w:r>
          </w:p>
        </w:tc>
        <w:tc>
          <w:tcPr>
            <w:tcW w:type="dxa" w:w="8020"/>
            <w:tcBorders>
              <w:top w:val="single" w:color="DFD1A7" w:sz="4"/>
              <w:left w:val="single" w:color="DFD1A7" w:sz="4"/>
              <w:bottom w:val="single" w:color="DFD1A7" w:sz="4"/>
              <w:right w:val="single" w:color="DFD1A7" w:sz="4"/>
            </w:tcBorders>
            <w:shd w:fill="FFFFFF" w:color="auto" w:val="clear"/>
            <w:tcMar>
              <w:top w:type="dxa" w:w="40"/>
              <w:left w:type="dxa" w:w="80"/>
              <w:bottom w:type="dxa" w:w="40"/>
              <w:right w:type="dxa" w:w="80"/>
            </w:tcMar>
            <w:vAlign w:val="center"/>
          </w:tcPr>
          <w:p>
            <w:pPr>
              <w:spacing w:after="0" w:line="240"/>
            </w:pPr>
            <w:r>
              <w:rPr>
                <w:rFonts w:ascii="Arial" w:cs="Arial" w:eastAsia="Arial" w:hAnsi="Arial"/>
                <w:color w:val="101820"/>
                <w:sz w:val="16"/>
                <w:szCs w:val="16"/>
              </w:rPr>
              <w:t xml:space="preserve">The ATT&amp;CK source card is two tenths of one percent of the graph it describes. That is the whole per-database input.</w:t>
            </w:r>
          </w:p>
        </w:tc>
      </w:tr>
    </w:tbl>
    <w:p>
      <w:pPr>
        <w:spacing w:after="50" w:before="120"/>
      </w:pPr>
      <w:r>
        <w:rPr>
          <w:rFonts w:ascii="Arial" w:cs="Arial" w:eastAsia="Arial" w:hAnsi="Arial"/>
          <w:b/>
          <w:bCs/>
          <w:color w:val="782F40"/>
          <w:sz w:val="22"/>
          <w:szCs w:val="22"/>
        </w:rPr>
        <w:t xml:space="preserve">Where it stops today</w:t>
      </w:r>
    </w:p>
    <w:p>
      <w:pPr>
        <w:pStyle w:val="ListParagraph"/>
        <w:numPr>
          <w:ilvl w:val="0"/>
          <w:numId w:val="2"/>
        </w:numPr>
        <w:spacing w:after="30"/>
      </w:pPr>
      <w:r>
        <w:rPr>
          <w:rFonts w:ascii="Arial" w:cs="Arial" w:eastAsia="Arial" w:hAnsi="Arial"/>
          <w:color w:val="101820"/>
          <w:sz w:val="18"/>
          <w:szCs w:val="18"/>
        </w:rPr>
        <w:t xml:space="preserve">Questions that cite an identifier work; rewording the question keeps about half; paraphrasing an entity's name keeps about a third with the identifier-gated rewrite stage; describing an entity without naming it is not yet supported.</w:t>
      </w:r>
    </w:p>
    <w:p>
      <w:pPr>
        <w:pStyle w:val="ListParagraph"/>
        <w:numPr>
          <w:ilvl w:val="0"/>
          <w:numId w:val="2"/>
        </w:numPr>
        <w:spacing w:after="30"/>
      </w:pPr>
      <w:r>
        <w:rPr>
          <w:rFonts w:ascii="Arial" w:cs="Arial" w:eastAsia="Arial" w:hAnsi="Arial"/>
          <w:color w:val="101820"/>
          <w:sz w:val="18"/>
          <w:szCs w:val="18"/>
        </w:rPr>
        <w:t xml:space="preserve">Every published headline replays a human-authored retrieval plan. Answer quality through the workbench's own planner has not been judged yet; the planner is the next target.</w:t>
      </w:r>
    </w:p>
    <w:p>
      <w:pPr>
        <w:pStyle w:val="ListParagraph"/>
        <w:numPr>
          <w:ilvl w:val="0"/>
          <w:numId w:val="2"/>
        </w:numPr>
        <w:spacing w:after="60"/>
      </w:pPr>
      <w:r>
        <w:rPr>
          <w:rFonts w:ascii="Arial" w:cs="Arial" w:eastAsia="Arial" w:hAnsi="Arial"/>
          <w:color w:val="101820"/>
          <w:sz w:val="18"/>
          <w:szCs w:val="18"/>
        </w:rPr>
        <w:t xml:space="preserve">The ReliaQuest identity schema (72 node types, 21 relationship types, five identity systems) ran with synthetic records that conform to it; the schema is real, the records are not. A declared bridge maps 13 of its 21 relationship types to ATT&amp;CK techniques, for example DC_SYNC to T1003.006.</w:t>
      </w:r>
    </w:p>
    <w:p>
      <w:pPr>
        <w:pBdr>
          <w:top w:val="single" w:color="CEB888" w:sz="6"/>
        </w:pBdr>
        <w:spacing w:after="0" w:before="60"/>
      </w:pPr>
      <w:r>
        <w:rPr>
          <w:rFonts w:ascii="Arial" w:cs="Arial" w:eastAsia="Arial" w:hAnsi="Arial"/>
          <w:color w:val="572932"/>
          <w:sz w:val="15"/>
          <w:szCs w:val="15"/>
        </w:rPr>
        <w:t xml:space="preserve">Repository and research record: github.com/brendondgr/Ariadne, docs/research/ (every figure above is traceable there). Olmo S. Zavala Romero, PI · Brendon DGR, technical lead. Apache 2.0; ATT&amp;CK® and CAPEC™ are trademarks of The MITRE Corporation.</w:t>
      </w:r>
    </w:p>
    <w:sectPr>
      <w:pgSz w:w="12240" w:h="15840" w:orient="portrait"/>
      <w:pgMar w:top="540" w:right="720" w:bottom="4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01820"/>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13ff4219ec0e6eccda668d4762be84360a62a4c.png"/><Relationship Id="rId8" Type="http://schemas.openxmlformats.org/officeDocument/2006/relationships/image" Target="media/adbad1c0f123c31d71bcf22d3f5aa12e7c10b48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2026-09-16T02:04:05.965Z</dcterms:created>
  <dcterms:modified xsi:type="dcterms:W3CDTF">2026-09-16T02:04:05.965Z</dcterms:modified>
</cp:coreProperties>
</file>

<file path=docProps/custom.xml><?xml version="1.0" encoding="utf-8"?>
<Properties xmlns="http://schemas.openxmlformats.org/officeDocument/2006/custom-properties" xmlns:vt="http://schemas.openxmlformats.org/officeDocument/2006/docPropsVTypes"/>
</file>