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efetua o pagamento em dinheiro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realizar o pagamento após a solicitação.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efetua o pagamento em cartão de crédito/débito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realizar o pagamento após a solicitação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Provedor do cartão responde a solicitação de crédito/débito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loja libera o produto após a confirmação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faz pedido de troca do produto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apresentar o produto a ser trocado em perfeitas condições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escolhe novo produto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pagar a diferença de valor caso escolha um produto mais caro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paga a diferença de valor em dinheiro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realizar o pagamento após a solicitação.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paga a diferença de valor em cartão de crédito/débito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realizar o pagamento após a solicitação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Provedor do cartão responde a solicitação de crédito/débito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loja libera o produto após a confirmação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solicita o cancelamento da compra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apresentar o produto a ser devolvido em perfeitas condições em até 7 dias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Loja cancela a NF do produto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aguardar até 5 minutos para a devolução do dinheiro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Loja efetua estorno em dinheiro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aguardar até 5 minutos para a devolução do dinheiro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Loja efetua estorno em cartão de crédito/débito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cliente deve aguardar até 2 faturas para receber o estorno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Provedor do cartão responde a solicitação de crédito/débito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loja libera o produto após a confirmação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