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EF1F" w14:textId="4DAA695A" w:rsidR="00CD5352" w:rsidRPr="00CD5352" w:rsidRDefault="00CD5352" w:rsidP="0044047B">
      <w:pPr>
        <w:rPr>
          <w:rFonts w:cstheme="minorHAnsi"/>
        </w:rPr>
      </w:pPr>
      <w:r w:rsidRPr="00CD5352">
        <w:rPr>
          <w:rFonts w:cstheme="minorHAnsi"/>
        </w:rPr>
        <w:t>Title: Music Descriptor Space</w:t>
      </w:r>
    </w:p>
    <w:p w14:paraId="1D98777E" w14:textId="0CD987D2" w:rsidR="00CD5352" w:rsidRPr="00CD5352" w:rsidRDefault="00CD5352" w:rsidP="0044047B">
      <w:pPr>
        <w:rPr>
          <w:rFonts w:cstheme="minorHAnsi"/>
        </w:rPr>
      </w:pPr>
      <w:r w:rsidRPr="00CD5352">
        <w:rPr>
          <w:rFonts w:cstheme="minorHAnsi"/>
        </w:rPr>
        <w:t>Authors:</w:t>
      </w:r>
    </w:p>
    <w:p w14:paraId="784A7DE0" w14:textId="4E65518C" w:rsidR="00CD5352" w:rsidRPr="00CD5352" w:rsidRDefault="00CD5352" w:rsidP="00CD5352">
      <w:pPr>
        <w:pStyle w:val="BodyText"/>
        <w:spacing w:line="480" w:lineRule="auto"/>
        <w:ind w:firstLine="720"/>
        <w:rPr>
          <w:rFonts w:asciiTheme="minorHAnsi" w:hAnsiTheme="minorHAnsi" w:cstheme="minorHAnsi"/>
          <w:kern w:val="16"/>
          <w:sz w:val="22"/>
          <w:szCs w:val="22"/>
        </w:rPr>
      </w:pPr>
      <w:r w:rsidRPr="00CD5352">
        <w:rPr>
          <w:rFonts w:asciiTheme="minorHAnsi" w:hAnsiTheme="minorHAnsi" w:cstheme="minorHAnsi"/>
          <w:kern w:val="16"/>
          <w:sz w:val="22"/>
          <w:szCs w:val="22"/>
        </w:rPr>
        <w:t>Brendon Mizener</w:t>
      </w:r>
      <w:r w:rsidRPr="00CD5352">
        <w:rPr>
          <w:rFonts w:asciiTheme="minorHAnsi" w:hAnsiTheme="minorHAnsi" w:cstheme="minorHAnsi"/>
          <w:kern w:val="16"/>
          <w:sz w:val="22"/>
          <w:szCs w:val="22"/>
          <w:vertAlign w:val="superscript"/>
        </w:rPr>
        <w:t>1</w:t>
      </w:r>
    </w:p>
    <w:p w14:paraId="1539B578" w14:textId="69886893" w:rsidR="00CD5352" w:rsidRPr="00CD5352" w:rsidRDefault="00CD5352" w:rsidP="00CD5352">
      <w:pPr>
        <w:pStyle w:val="BodyText"/>
        <w:spacing w:line="480" w:lineRule="auto"/>
        <w:ind w:firstLine="720"/>
        <w:rPr>
          <w:rFonts w:asciiTheme="minorHAnsi" w:hAnsiTheme="minorHAnsi" w:cstheme="minorHAnsi"/>
          <w:kern w:val="16"/>
          <w:sz w:val="22"/>
          <w:szCs w:val="22"/>
        </w:rPr>
      </w:pPr>
      <w:r w:rsidRPr="00CD5352">
        <w:rPr>
          <w:rFonts w:asciiTheme="minorHAnsi" w:hAnsiTheme="minorHAnsi" w:cstheme="minorHAnsi"/>
          <w:kern w:val="16"/>
          <w:sz w:val="22"/>
          <w:szCs w:val="22"/>
        </w:rPr>
        <w:t>Mathilde Vandenberghe</w:t>
      </w:r>
      <w:r w:rsidRPr="00CD5352">
        <w:rPr>
          <w:rFonts w:asciiTheme="minorHAnsi" w:hAnsiTheme="minorHAnsi" w:cstheme="minorHAnsi"/>
          <w:kern w:val="16"/>
          <w:sz w:val="22"/>
          <w:szCs w:val="22"/>
          <w:vertAlign w:val="superscript"/>
        </w:rPr>
        <w:t>2</w:t>
      </w:r>
    </w:p>
    <w:p w14:paraId="53501203" w14:textId="5F0E5F14" w:rsidR="00CD5352" w:rsidRPr="00CD5352" w:rsidRDefault="00CD5352" w:rsidP="00CD5352">
      <w:pPr>
        <w:pStyle w:val="BodyText"/>
        <w:spacing w:line="480" w:lineRule="auto"/>
        <w:ind w:firstLine="720"/>
        <w:rPr>
          <w:rFonts w:asciiTheme="minorHAnsi" w:hAnsiTheme="minorHAnsi" w:cstheme="minorHAnsi"/>
          <w:kern w:val="16"/>
          <w:sz w:val="22"/>
          <w:szCs w:val="22"/>
        </w:rPr>
      </w:pPr>
      <w:proofErr w:type="spellStart"/>
      <w:r w:rsidRPr="00CD5352">
        <w:rPr>
          <w:rFonts w:asciiTheme="minorHAnsi" w:hAnsiTheme="minorHAnsi" w:cstheme="minorHAnsi"/>
          <w:kern w:val="16"/>
          <w:sz w:val="22"/>
          <w:szCs w:val="22"/>
        </w:rPr>
        <w:t>Hervé</w:t>
      </w:r>
      <w:proofErr w:type="spellEnd"/>
      <w:r w:rsidRPr="00CD5352">
        <w:rPr>
          <w:rFonts w:asciiTheme="minorHAnsi" w:hAnsiTheme="minorHAnsi" w:cstheme="minorHAnsi"/>
          <w:kern w:val="16"/>
          <w:sz w:val="22"/>
          <w:szCs w:val="22"/>
        </w:rPr>
        <w:t xml:space="preserve"> Abdi</w:t>
      </w:r>
      <w:r w:rsidRPr="00CD5352">
        <w:rPr>
          <w:rFonts w:asciiTheme="minorHAnsi" w:hAnsiTheme="minorHAnsi" w:cstheme="minorHAnsi"/>
          <w:kern w:val="16"/>
          <w:sz w:val="22"/>
          <w:szCs w:val="22"/>
          <w:vertAlign w:val="superscript"/>
        </w:rPr>
        <w:t>1</w:t>
      </w:r>
    </w:p>
    <w:p w14:paraId="0810C889" w14:textId="61F37157" w:rsidR="00CD5352" w:rsidRPr="00CD5352" w:rsidRDefault="00CD5352" w:rsidP="00CD5352">
      <w:pPr>
        <w:pStyle w:val="BodyText"/>
        <w:spacing w:line="480" w:lineRule="auto"/>
        <w:ind w:firstLine="720"/>
        <w:rPr>
          <w:rFonts w:asciiTheme="minorHAnsi" w:hAnsiTheme="minorHAnsi" w:cstheme="minorHAnsi"/>
          <w:kern w:val="16"/>
          <w:sz w:val="22"/>
          <w:szCs w:val="22"/>
        </w:rPr>
      </w:pPr>
      <w:r w:rsidRPr="00CD5352">
        <w:rPr>
          <w:rFonts w:asciiTheme="minorHAnsi" w:hAnsiTheme="minorHAnsi" w:cstheme="minorHAnsi"/>
          <w:kern w:val="16"/>
          <w:sz w:val="22"/>
          <w:szCs w:val="22"/>
        </w:rPr>
        <w:t>Sylvie Chollet</w:t>
      </w:r>
      <w:r w:rsidRPr="00CD5352">
        <w:rPr>
          <w:rFonts w:asciiTheme="minorHAnsi" w:hAnsiTheme="minorHAnsi" w:cstheme="minorHAnsi"/>
          <w:kern w:val="16"/>
          <w:sz w:val="22"/>
          <w:szCs w:val="22"/>
          <w:vertAlign w:val="superscript"/>
        </w:rPr>
        <w:t>2</w:t>
      </w:r>
    </w:p>
    <w:p w14:paraId="4534E259" w14:textId="034B1363" w:rsidR="00CD5352" w:rsidRPr="00CD5352" w:rsidRDefault="00CD5352" w:rsidP="00CD5352">
      <w:pPr>
        <w:pStyle w:val="BodyText"/>
        <w:spacing w:line="480" w:lineRule="auto"/>
        <w:rPr>
          <w:rFonts w:asciiTheme="minorHAnsi" w:hAnsiTheme="minorHAnsi" w:cstheme="minorHAnsi"/>
          <w:kern w:val="16"/>
          <w:sz w:val="22"/>
          <w:szCs w:val="22"/>
        </w:rPr>
      </w:pPr>
      <w:r w:rsidRPr="00CD5352">
        <w:rPr>
          <w:rFonts w:asciiTheme="minorHAnsi" w:hAnsiTheme="minorHAnsi" w:cstheme="minorHAnsi"/>
          <w:kern w:val="16"/>
          <w:sz w:val="22"/>
          <w:szCs w:val="22"/>
        </w:rPr>
        <w:t>Affiliations:</w:t>
      </w:r>
    </w:p>
    <w:p w14:paraId="06E9ECB1" w14:textId="1FF64153" w:rsidR="00CD5352" w:rsidRPr="00CD5352" w:rsidRDefault="00CD5352" w:rsidP="00CD5352">
      <w:pPr>
        <w:pStyle w:val="BodyText"/>
        <w:spacing w:line="480" w:lineRule="auto"/>
        <w:ind w:firstLine="720"/>
        <w:rPr>
          <w:rFonts w:asciiTheme="minorHAnsi" w:hAnsiTheme="minorHAnsi" w:cstheme="minorHAnsi"/>
          <w:kern w:val="16"/>
          <w:sz w:val="22"/>
          <w:szCs w:val="22"/>
        </w:rPr>
      </w:pPr>
      <w:r w:rsidRPr="00CD5352">
        <w:rPr>
          <w:rFonts w:asciiTheme="minorHAnsi" w:hAnsiTheme="minorHAnsi" w:cstheme="minorHAnsi"/>
          <w:kern w:val="16"/>
          <w:sz w:val="22"/>
          <w:szCs w:val="22"/>
          <w:vertAlign w:val="superscript"/>
        </w:rPr>
        <w:t>1</w:t>
      </w:r>
      <w:r w:rsidRPr="00CD5352">
        <w:rPr>
          <w:rFonts w:asciiTheme="minorHAnsi" w:hAnsiTheme="minorHAnsi" w:cstheme="minorHAnsi"/>
          <w:kern w:val="16"/>
          <w:sz w:val="22"/>
          <w:szCs w:val="22"/>
        </w:rPr>
        <w:t xml:space="preserve"> University of Texas at Dallas</w:t>
      </w:r>
    </w:p>
    <w:p w14:paraId="5729E943" w14:textId="77777777" w:rsidR="00CD5352" w:rsidRPr="00CD5352" w:rsidRDefault="00CD5352" w:rsidP="00CD5352">
      <w:pPr>
        <w:pStyle w:val="BodyText"/>
        <w:spacing w:before="148" w:line="480" w:lineRule="auto"/>
        <w:ind w:firstLine="720"/>
        <w:rPr>
          <w:rFonts w:asciiTheme="minorHAnsi" w:hAnsiTheme="minorHAnsi" w:cstheme="minorHAnsi"/>
          <w:kern w:val="16"/>
          <w:sz w:val="22"/>
          <w:szCs w:val="22"/>
        </w:rPr>
      </w:pPr>
      <w:r w:rsidRPr="00CD5352">
        <w:rPr>
          <w:rFonts w:asciiTheme="minorHAnsi" w:hAnsiTheme="minorHAnsi" w:cstheme="minorHAnsi"/>
          <w:kern w:val="16"/>
          <w:sz w:val="22"/>
          <w:szCs w:val="22"/>
          <w:vertAlign w:val="superscript"/>
        </w:rPr>
        <w:t>2</w:t>
      </w:r>
      <w:r w:rsidRPr="00CD5352">
        <w:rPr>
          <w:rFonts w:asciiTheme="minorHAnsi" w:hAnsiTheme="minorHAnsi" w:cstheme="minorHAnsi"/>
          <w:kern w:val="16"/>
          <w:sz w:val="22"/>
          <w:szCs w:val="22"/>
        </w:rPr>
        <w:t xml:space="preserve"> </w:t>
      </w:r>
      <w:proofErr w:type="spellStart"/>
      <w:r w:rsidRPr="00CD5352">
        <w:rPr>
          <w:rFonts w:asciiTheme="minorHAnsi" w:hAnsiTheme="minorHAnsi" w:cstheme="minorHAnsi"/>
          <w:kern w:val="16"/>
          <w:sz w:val="22"/>
          <w:szCs w:val="22"/>
        </w:rPr>
        <w:t>Junia</w:t>
      </w:r>
      <w:proofErr w:type="spellEnd"/>
      <w:r w:rsidRPr="00CD5352">
        <w:rPr>
          <w:rFonts w:asciiTheme="minorHAnsi" w:hAnsiTheme="minorHAnsi" w:cstheme="minorHAnsi"/>
          <w:kern w:val="16"/>
          <w:sz w:val="22"/>
          <w:szCs w:val="22"/>
        </w:rPr>
        <w:t xml:space="preserve">, Univ. Artois, Université de Liège, Univ. Littoral Côte </w:t>
      </w:r>
      <w:proofErr w:type="spellStart"/>
      <w:r w:rsidRPr="00CD5352">
        <w:rPr>
          <w:rFonts w:asciiTheme="minorHAnsi" w:hAnsiTheme="minorHAnsi" w:cstheme="minorHAnsi"/>
          <w:kern w:val="16"/>
          <w:sz w:val="22"/>
          <w:szCs w:val="22"/>
        </w:rPr>
        <w:t>d’Opale</w:t>
      </w:r>
      <w:proofErr w:type="spellEnd"/>
      <w:r w:rsidRPr="00CD5352">
        <w:rPr>
          <w:rFonts w:asciiTheme="minorHAnsi" w:hAnsiTheme="minorHAnsi" w:cstheme="minorHAnsi"/>
          <w:kern w:val="16"/>
          <w:sz w:val="22"/>
          <w:szCs w:val="22"/>
        </w:rPr>
        <w:t xml:space="preserve">, UMRT 1158 </w:t>
      </w:r>
      <w:proofErr w:type="spellStart"/>
      <w:r w:rsidRPr="00CD5352">
        <w:rPr>
          <w:rFonts w:asciiTheme="minorHAnsi" w:hAnsiTheme="minorHAnsi" w:cstheme="minorHAnsi"/>
          <w:kern w:val="16"/>
          <w:sz w:val="22"/>
          <w:szCs w:val="22"/>
        </w:rPr>
        <w:t>BioEcoAgro</w:t>
      </w:r>
      <w:proofErr w:type="spellEnd"/>
      <w:r w:rsidRPr="00CD5352">
        <w:rPr>
          <w:rFonts w:asciiTheme="minorHAnsi" w:hAnsiTheme="minorHAnsi" w:cstheme="minorHAnsi"/>
          <w:kern w:val="16"/>
          <w:sz w:val="22"/>
          <w:szCs w:val="22"/>
        </w:rPr>
        <w:t>, F-62000 Arras, France</w:t>
      </w:r>
    </w:p>
    <w:p w14:paraId="211AE420" w14:textId="77777777" w:rsidR="00CD5352" w:rsidRDefault="00CD5352" w:rsidP="0044047B">
      <w:pPr>
        <w:rPr>
          <w:rFonts w:cstheme="minorHAnsi"/>
        </w:rPr>
      </w:pPr>
    </w:p>
    <w:p w14:paraId="11E68DD1" w14:textId="27F946B9" w:rsidR="0044047B" w:rsidRDefault="00150742" w:rsidP="0044047B">
      <w:proofErr w:type="gramStart"/>
      <w:r w:rsidRPr="00CD5352">
        <w:rPr>
          <w:rFonts w:cstheme="minorHAnsi"/>
        </w:rPr>
        <w:t>In order to</w:t>
      </w:r>
      <w:proofErr w:type="gramEnd"/>
      <w:r w:rsidRPr="00CD5352">
        <w:rPr>
          <w:rFonts w:cstheme="minorHAnsi"/>
        </w:rPr>
        <w:t xml:space="preserve"> evaluate intercultural descriptions of Western music, we designed a bilingual experiment in which participants in either France (</w:t>
      </w:r>
      <w:r w:rsidRPr="00CD5352">
        <w:rPr>
          <w:rFonts w:cstheme="minorHAnsi"/>
          <w:i/>
          <w:iCs/>
        </w:rPr>
        <w:t>N</w:t>
      </w:r>
      <w:r w:rsidRPr="00CD5352">
        <w:rPr>
          <w:rFonts w:cstheme="minorHAnsi"/>
        </w:rPr>
        <w:t xml:space="preserve"> = 120) or the United States (</w:t>
      </w:r>
      <w:r w:rsidRPr="00CD5352">
        <w:rPr>
          <w:rFonts w:cstheme="minorHAnsi"/>
          <w:i/>
          <w:iCs/>
        </w:rPr>
        <w:t>N</w:t>
      </w:r>
      <w:r w:rsidRPr="00CD5352">
        <w:rPr>
          <w:rFonts w:cstheme="minorHAnsi"/>
        </w:rPr>
        <w:t xml:space="preserve"> = 184) rated 15 novel 30-second stimuli either on quantifiable musical qualities (e.g., tempo, meter, harmony) or using adjectives (e.g., bright, dark, soft). Specific questions include a) whether there was an identifiable cognitive listening space, b) whether this space was consistent across listeners of different</w:t>
      </w:r>
      <w:r>
        <w:t xml:space="preserve"> nationalities, and c) whether this space was consistent between </w:t>
      </w:r>
      <w:r w:rsidR="005A48D0">
        <w:t>surveys</w:t>
      </w:r>
      <w:r>
        <w:t xml:space="preserve">. </w:t>
      </w:r>
      <w:r w:rsidR="00385CF6">
        <w:t>A total of 30 stimuli were composed for this study</w:t>
      </w:r>
      <w:r w:rsidR="00D63833">
        <w:t xml:space="preserve">, and </w:t>
      </w:r>
      <w:r w:rsidR="00385CF6">
        <w:t>each participant rated half of the stimuli</w:t>
      </w:r>
      <w:r w:rsidR="00D63833">
        <w:t xml:space="preserve"> at random</w:t>
      </w:r>
      <w:r w:rsidR="00385CF6">
        <w:t>.</w:t>
      </w:r>
      <w:r>
        <w:t xml:space="preserve"> To evaluate these questions, we used exploratory </w:t>
      </w:r>
      <w:r w:rsidR="0044047B">
        <w:t xml:space="preserve">multivariate analyses including hierarchical cluster analysis, distance analysis and correspondence analysis, in conjunction with bootstrapping and permutation tests </w:t>
      </w:r>
    </w:p>
    <w:p w14:paraId="7B973F72" w14:textId="1DA13C6D" w:rsidR="005A48D0" w:rsidRDefault="0044047B" w:rsidP="0044047B">
      <w:r>
        <w:t>A correspondence analysis (CA) of the musical qualities survey revealed that many different musical qualities contribute to judgements of difference between musical excerpts</w:t>
      </w:r>
      <w:r w:rsidR="00385CF6">
        <w:t xml:space="preserve"> and</w:t>
      </w:r>
      <w:r>
        <w:t xml:space="preserve"> that excerpts that reflect more modern musical movements (e.g., minimalism) greatly affect the overall factor space.</w:t>
      </w:r>
      <w:r w:rsidR="002E3B92">
        <w:t xml:space="preserve"> </w:t>
      </w:r>
      <w:r>
        <w:t xml:space="preserve">Another CA of the </w:t>
      </w:r>
      <w:proofErr w:type="gramStart"/>
      <w:r w:rsidR="005A48D0">
        <w:t>adjectives</w:t>
      </w:r>
      <w:proofErr w:type="gramEnd"/>
      <w:r w:rsidR="005A48D0">
        <w:t xml:space="preserve"> survey </w:t>
      </w:r>
      <w:r>
        <w:t>provided a space that reflected the valence/arousal emotional model</w:t>
      </w:r>
      <w:r w:rsidR="005A48D0">
        <w:t xml:space="preserve"> that is</w:t>
      </w:r>
      <w:r>
        <w:t xml:space="preserve"> much more robust to musically diverse stimuli. </w:t>
      </w:r>
    </w:p>
    <w:p w14:paraId="7C402CB4" w14:textId="1A7E5533" w:rsidR="0044047B" w:rsidRDefault="0044047B" w:rsidP="0044047B">
      <w:r>
        <w:t xml:space="preserve">A distance analysis on the participants’ ratings showed that the average American and French participants described the stimuli differently. </w:t>
      </w:r>
    </w:p>
    <w:p w14:paraId="203472DC" w14:textId="447DC0C8" w:rsidR="007E604B" w:rsidRDefault="0044047B" w:rsidP="0044047B">
      <w:r>
        <w:t>An additional analysis correlating the results of both surveys suggests that multivariate correlations between the adjectives and qualities models are able to identify stimuli that anchor the ‘corners’ of the valence arousal model.</w:t>
      </w:r>
    </w:p>
    <w:sectPr w:rsidR="007E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7B"/>
    <w:rsid w:val="00015DF2"/>
    <w:rsid w:val="00150742"/>
    <w:rsid w:val="002E3B92"/>
    <w:rsid w:val="00385CF6"/>
    <w:rsid w:val="0044047B"/>
    <w:rsid w:val="005A48D0"/>
    <w:rsid w:val="007E604B"/>
    <w:rsid w:val="00A765A8"/>
    <w:rsid w:val="00CD5352"/>
    <w:rsid w:val="00D63833"/>
    <w:rsid w:val="00E6443E"/>
    <w:rsid w:val="00ED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0460"/>
  <w15:chartTrackingRefBased/>
  <w15:docId w15:val="{C50E7E34-6D80-47FD-87E2-E24EEAD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5352"/>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D5352"/>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Mizener</dc:creator>
  <cp:keywords/>
  <dc:description/>
  <cp:lastModifiedBy>Mizener, Brendon J</cp:lastModifiedBy>
  <cp:revision>8</cp:revision>
  <dcterms:created xsi:type="dcterms:W3CDTF">2021-10-30T15:31:00Z</dcterms:created>
  <dcterms:modified xsi:type="dcterms:W3CDTF">2021-11-02T00:10:00Z</dcterms:modified>
</cp:coreProperties>
</file>