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 prueba 'Health — REST responde' de Newman confirma que el servicio REST está operativo;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7"/>
            <w:shd w:val="clear" w:color="auto" w:fill="1E40AF"/>
          </w:tcPr>
          <w:p>
            <w:pPr>
              <w:jc w:val="center"/>
            </w:pPr>
            <w:r/>
            <w:r>
              <w:rPr>
                <w:rFonts w:ascii="Calibri" w:hAnsi="Calibri"/>
                <w:b/>
                <w:color w:val="FFFFFF"/>
                <w:sz w:val="20"/>
              </w:rPr>
              <w:t>Grupo</w:t>
            </w:r>
          </w:p>
        </w:tc>
        <w:tc>
          <w:tcPr>
            <w:tcW w:type="dxa" w:w="1701"/>
            <w:shd w:val="clear" w:color="auto" w:fill="1E40AF"/>
          </w:tcPr>
          <w:p>
            <w:pPr>
              <w:jc w:val="center"/>
            </w:pPr>
            <w:r/>
            <w:r>
              <w:rPr>
                <w:rFonts w:ascii="Calibri" w:hAnsi="Calibri"/>
                <w:b/>
                <w:color w:val="FFFFFF"/>
                <w:sz w:val="20"/>
              </w:rPr>
              <w:t>Petición</w:t>
            </w:r>
          </w:p>
        </w:tc>
        <w:tc>
          <w:tcPr>
            <w:tcW w:type="dxa" w:w="3685"/>
            <w:shd w:val="clear" w:color="auto" w:fill="1E40AF"/>
          </w:tcPr>
          <w:p>
            <w:pPr>
              <w:jc w:val="center"/>
            </w:pPr>
            <w:r/>
            <w:r>
              <w:rPr>
                <w:rFonts w:ascii="Calibri" w:hAnsi="Calibri"/>
                <w:b/>
                <w:color w:val="FFFFFF"/>
                <w:sz w:val="20"/>
              </w:rPr>
              <w:t>Endpoint</w:t>
            </w:r>
          </w:p>
        </w:tc>
        <w:tc>
          <w:tcPr>
            <w:tcW w:type="dxa" w:w="2381"/>
            <w:shd w:val="clear" w:color="auto" w:fill="1E40AF"/>
          </w:tcPr>
          <w:p>
            <w:pPr>
              <w:jc w:val="center"/>
            </w:pPr>
            <w:r/>
            <w:r>
              <w:rPr>
                <w:rFonts w:ascii="Calibri" w:hAnsi="Calibri"/>
                <w:b/>
                <w:color w:val="FFFFFF"/>
                <w:sz w:val="20"/>
              </w:rPr>
              <w:t>Aserción</w:t>
            </w:r>
          </w:p>
        </w:tc>
      </w:tr>
      <w:tr>
        <w:tc>
          <w:tcPr>
            <w:tcW w:type="dxa" w:w="1587"/>
          </w:tcPr>
          <w:p>
            <w:r/>
            <w:r>
              <w:rPr>
                <w:rFonts w:ascii="Calibri" w:hAnsi="Calibri"/>
                <w:sz w:val="20"/>
              </w:rPr>
              <w:t>Autenticación</w:t>
            </w:r>
          </w:p>
        </w:tc>
        <w:tc>
          <w:tcPr>
            <w:tcW w:type="dxa" w:w="1701"/>
          </w:tcPr>
          <w:p>
            <w:r/>
            <w:r>
              <w:rPr>
                <w:rFonts w:ascii="Calibri" w:hAnsi="Calibri"/>
                <w:sz w:val="20"/>
              </w:rPr>
              <w:t>Health REST</w:t>
            </w:r>
          </w:p>
        </w:tc>
        <w:tc>
          <w:tcPr>
            <w:tcW w:type="dxa" w:w="3685"/>
          </w:tcPr>
          <w:p>
            <w:r/>
            <w:r>
              <w:rPr>
                <w:rFonts w:ascii="Calibri" w:hAnsi="Calibri"/>
                <w:sz w:val="20"/>
              </w:rPr>
              <w:t>GET /rest/v1/</w:t>
            </w:r>
          </w:p>
        </w:tc>
        <w:tc>
          <w:tcPr>
            <w:tcW w:type="dxa" w:w="2381"/>
          </w:tcPr>
          <w:p>
            <w:r/>
            <w:r>
              <w:rPr>
                <w:rFonts w:ascii="Calibri" w:hAnsi="Calibri"/>
                <w:sz w:val="20"/>
              </w:rPr>
              <w:t>200, &lt; 1500 ms</w:t>
            </w:r>
          </w:p>
        </w:tc>
      </w:tr>
      <w:tr>
        <w:tc>
          <w:tcPr>
            <w:tcW w:type="dxa" w:w="1587"/>
            <w:shd w:val="clear" w:color="auto" w:fill="EEF2FB"/>
          </w:tcPr>
          <w:p>
            <w:r/>
            <w:r>
              <w:rPr>
                <w:rFonts w:ascii="Calibri" w:hAnsi="Calibri"/>
                <w:sz w:val="20"/>
              </w:rPr>
              <w:t>Autenticación</w:t>
            </w:r>
          </w:p>
        </w:tc>
        <w:tc>
          <w:tcPr>
            <w:tcW w:type="dxa" w:w="1701"/>
            <w:shd w:val="clear" w:color="auto" w:fill="EEF2FB"/>
          </w:tcPr>
          <w:p>
            <w:r/>
            <w:r>
              <w:rPr>
                <w:rFonts w:ascii="Calibri" w:hAnsi="Calibri"/>
                <w:sz w:val="20"/>
              </w:rPr>
              <w:t>Sign in</w:t>
            </w:r>
          </w:p>
        </w:tc>
        <w:tc>
          <w:tcPr>
            <w:tcW w:type="dxa" w:w="3685"/>
            <w:shd w:val="clear" w:color="auto" w:fill="EEF2FB"/>
          </w:tcPr>
          <w:p>
            <w:r/>
            <w:r>
              <w:rPr>
                <w:rFonts w:ascii="Calibri" w:hAnsi="Calibri"/>
                <w:sz w:val="20"/>
              </w:rPr>
              <w:t>POST /auth/v1/token?grant_type=password</w:t>
            </w:r>
          </w:p>
        </w:tc>
        <w:tc>
          <w:tcPr>
            <w:tcW w:type="dxa" w:w="2381"/>
            <w:shd w:val="clear" w:color="auto" w:fill="EEF2FB"/>
          </w:tcPr>
          <w:p>
            <w:r/>
            <w:r>
              <w:rPr>
                <w:rFonts w:ascii="Calibri" w:hAnsi="Calibri"/>
                <w:sz w:val="20"/>
              </w:rPr>
              <w:t>200, access_token, user</w:t>
            </w:r>
          </w:p>
        </w:tc>
      </w:tr>
      <w:tr>
        <w:tc>
          <w:tcPr>
            <w:tcW w:type="dxa" w:w="1587"/>
          </w:tcPr>
          <w:p>
            <w:r/>
            <w:r>
              <w:rPr>
                <w:rFonts w:ascii="Calibri" w:hAnsi="Calibri"/>
                <w:sz w:val="20"/>
              </w:rPr>
              <w:t>Autenticación</w:t>
            </w:r>
          </w:p>
        </w:tc>
        <w:tc>
          <w:tcPr>
            <w:tcW w:type="dxa" w:w="1701"/>
          </w:tcPr>
          <w:p>
            <w:r/>
            <w:r>
              <w:rPr>
                <w:rFonts w:ascii="Calibri" w:hAnsi="Calibri"/>
                <w:sz w:val="20"/>
              </w:rPr>
              <w:t>Login inválido</w:t>
            </w:r>
          </w:p>
        </w:tc>
        <w:tc>
          <w:tcPr>
            <w:tcW w:type="dxa" w:w="3685"/>
          </w:tcPr>
          <w:p>
            <w:r/>
            <w:r>
              <w:rPr>
                <w:rFonts w:ascii="Calibri" w:hAnsi="Calibri"/>
                <w:sz w:val="20"/>
              </w:rPr>
              <w:t>POST /auth/v1/token</w:t>
            </w:r>
          </w:p>
        </w:tc>
        <w:tc>
          <w:tcPr>
            <w:tcW w:type="dxa" w:w="2381"/>
          </w:tcPr>
          <w:p>
            <w:r/>
            <w:r>
              <w:rPr>
                <w:rFonts w:ascii="Calibri" w:hAnsi="Calibri"/>
                <w:sz w:val="20"/>
              </w:rPr>
              <w:t>400</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usuarios</w:t>
            </w:r>
          </w:p>
        </w:tc>
        <w:tc>
          <w:tcPr>
            <w:tcW w:type="dxa" w:w="3685"/>
            <w:shd w:val="clear" w:color="auto" w:fill="EEF2FB"/>
          </w:tcPr>
          <w:p>
            <w:r/>
            <w:r>
              <w:rPr>
                <w:rFonts w:ascii="Calibri" w:hAnsi="Calibri"/>
                <w:sz w:val="20"/>
              </w:rPr>
              <w:t>GET /rest/v1/usuarios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clases</w:t>
            </w:r>
          </w:p>
        </w:tc>
        <w:tc>
          <w:tcPr>
            <w:tcW w:type="dxa" w:w="3685"/>
          </w:tcPr>
          <w:p>
            <w:r/>
            <w:r>
              <w:rPr>
                <w:rFonts w:ascii="Calibri" w:hAnsi="Calibri"/>
                <w:sz w:val="20"/>
              </w:rPr>
              <w:t>GET /rest/v1/clases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membresias</w:t>
            </w:r>
          </w:p>
        </w:tc>
        <w:tc>
          <w:tcPr>
            <w:tcW w:type="dxa" w:w="3685"/>
            <w:shd w:val="clear" w:color="auto" w:fill="EEF2FB"/>
          </w:tcPr>
          <w:p>
            <w:r/>
            <w:r>
              <w:rPr>
                <w:rFonts w:ascii="Calibri" w:hAnsi="Calibri"/>
                <w:sz w:val="20"/>
              </w:rPr>
              <w:t>GET /rest/v1/membresias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pagos</w:t>
            </w:r>
          </w:p>
        </w:tc>
        <w:tc>
          <w:tcPr>
            <w:tcW w:type="dxa" w:w="3685"/>
          </w:tcPr>
          <w:p>
            <w:r/>
            <w:r>
              <w:rPr>
                <w:rFonts w:ascii="Calibri" w:hAnsi="Calibri"/>
                <w:sz w:val="20"/>
              </w:rPr>
              <w:t>GET /rest/v1/pagos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avisos</w:t>
            </w:r>
          </w:p>
        </w:tc>
        <w:tc>
          <w:tcPr>
            <w:tcW w:type="dxa" w:w="3685"/>
            <w:shd w:val="clear" w:color="auto" w:fill="EEF2FB"/>
          </w:tcPr>
          <w:p>
            <w:r/>
            <w:r>
              <w:rPr>
                <w:rFonts w:ascii="Calibri" w:hAnsi="Calibri"/>
                <w:sz w:val="20"/>
              </w:rPr>
              <w:t>GET /rest/v1/avisos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planes</w:t>
            </w:r>
          </w:p>
        </w:tc>
        <w:tc>
          <w:tcPr>
            <w:tcW w:type="dxa" w:w="3685"/>
          </w:tcPr>
          <w:p>
            <w:r/>
            <w:r>
              <w:rPr>
                <w:rFonts w:ascii="Calibri" w:hAnsi="Calibri"/>
                <w:sz w:val="20"/>
              </w:rPr>
              <w:t>GET /rest/v1/planes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info_gimnasio</w:t>
            </w:r>
          </w:p>
        </w:tc>
        <w:tc>
          <w:tcPr>
            <w:tcW w:type="dxa" w:w="3685"/>
            <w:shd w:val="clear" w:color="auto" w:fill="EEF2FB"/>
          </w:tcPr>
          <w:p>
            <w:r/>
            <w:r>
              <w:rPr>
                <w:rFonts w:ascii="Calibri" w:hAnsi="Calibri"/>
                <w:sz w:val="20"/>
              </w:rPr>
              <w:t>GET /rest/v1/info_gimnasio</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Seguridad</w:t>
            </w:r>
          </w:p>
        </w:tc>
        <w:tc>
          <w:tcPr>
            <w:tcW w:type="dxa" w:w="1701"/>
          </w:tcPr>
          <w:p>
            <w:r/>
            <w:r>
              <w:rPr>
                <w:rFonts w:ascii="Calibri" w:hAnsi="Calibri"/>
                <w:sz w:val="20"/>
              </w:rPr>
              <w:t>Sin token (RLS)</w:t>
            </w:r>
          </w:p>
        </w:tc>
        <w:tc>
          <w:tcPr>
            <w:tcW w:type="dxa" w:w="3685"/>
          </w:tcPr>
          <w:p>
            <w:r/>
            <w:r>
              <w:rPr>
                <w:rFonts w:ascii="Calibri" w:hAnsi="Calibri"/>
                <w:sz w:val="20"/>
              </w:rPr>
              <w:t>GET /rest/v1/usuarios</w:t>
            </w:r>
          </w:p>
        </w:tc>
        <w:tc>
          <w:tcPr>
            <w:tcW w:type="dxa" w:w="2381"/>
          </w:tcPr>
          <w:p>
            <w:r/>
            <w:r>
              <w:rPr>
                <w:rFonts w:ascii="Calibri" w:hAnsi="Calibri"/>
                <w:sz w:val="20"/>
              </w:rPr>
              <w:t>401/403</w:t>
            </w:r>
          </w:p>
        </w:tc>
      </w:tr>
    </w:tbl>
    <w:p>
      <w:pPr>
        <w:spacing w:after="80"/>
      </w:pPr>
    </w:p>
    <w:p>
      <w:pPr>
        <w:spacing w:after="120" w:line="276" w:lineRule="auto"/>
      </w:pPr>
      <w:r>
        <w:rPr>
          <w:rFonts w:ascii="Calibri" w:hAnsi="Calibri"/>
          <w:b w:val="0"/>
          <w:i w:val="0"/>
        </w:rPr>
        <w:t>Justificación: probar la API con Postman/Newman valida el contrato entre la aplicación y Supabase de forma independiente a la interfaz. La petición 'Sin token (RLS)' demuestra objetivamente que las políticas de seguridad están activas, y automatizar la colección permite que estas pruebas corran en cada ejecución del pipeline.</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Artefacto de liberación</w:t>
            </w:r>
          </w:p>
        </w:tc>
        <w:tc>
          <w:tcPr>
            <w:tcW w:type="dxa" w:w="6236"/>
            <w:shd w:val="clear" w:color="auto" w:fill="EEF2FB"/>
          </w:tcPr>
          <w:p>
            <w:r/>
            <w:r>
              <w:rPr>
                <w:rFonts w:ascii="Calibri" w:hAnsi="Calibri"/>
                <w:sz w:val="20"/>
              </w:rPr>
              <w:t>fitcore-apk (build/app/outputs/flutter-apk/app-release.apk)</w:t>
            </w:r>
          </w:p>
        </w:tc>
      </w:tr>
      <w:tr>
        <w:tc>
          <w:tcPr>
            <w:tcW w:type="dxa" w:w="2835"/>
          </w:tcPr>
          <w:p>
            <w:r/>
            <w:r>
              <w:rPr>
                <w:rFonts w:ascii="Calibri" w:hAnsi="Calibri"/>
                <w:sz w:val="20"/>
              </w:rPr>
              <w:t>Release</w:t>
            </w:r>
          </w:p>
        </w:tc>
        <w:tc>
          <w:tcPr>
            <w:tcW w:type="dxa" w:w="6236"/>
          </w:tcPr>
          <w:p>
            <w:r/>
            <w:r>
              <w:rPr>
                <w:rFonts w:ascii="Calibri" w:hAnsi="Calibri"/>
                <w:sz w:val="20"/>
              </w:rPr>
              <w:t>v1.0.0+1-2 — «FitCore v1.0.0+1 (build 2)», generada por el job despliegue, con el asset app-release.apk (53 MB): https://github.com/brenivargas09-sys/Fitcore/releases/tag/v1.0.0%2B1-2</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2551"/>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r>
      <w:tr>
        <w:tc>
          <w:tcPr>
            <w:tcW w:type="dxa" w:w="1134"/>
          </w:tcPr>
          <w:p>
            <w:r/>
            <w:r>
              <w:rPr>
                <w:rFonts w:ascii="Calibri" w:hAnsi="Calibri"/>
                <w:sz w:val="20"/>
              </w:rPr>
              <w:t>API-01</w:t>
            </w:r>
          </w:p>
        </w:tc>
        <w:tc>
          <w:tcPr>
            <w:tcW w:type="dxa" w:w="3118"/>
          </w:tcPr>
          <w:p>
            <w:r/>
            <w:r>
              <w:rPr>
                <w:rFonts w:ascii="Calibri" w:hAnsi="Calibri"/>
                <w:sz w:val="20"/>
              </w:rPr>
              <w:t>Servicio REST disponible</w:t>
            </w:r>
          </w:p>
        </w:tc>
        <w:tc>
          <w:tcPr>
            <w:tcW w:type="dxa" w:w="2551"/>
          </w:tcPr>
          <w:p>
            <w:r/>
            <w:r>
              <w:rPr>
                <w:rFonts w:ascii="Calibri" w:hAnsi="Calibri"/>
                <w:sz w:val="20"/>
              </w:rPr>
              <w:t>GET /rest/v1/</w:t>
            </w:r>
          </w:p>
        </w:tc>
        <w:tc>
          <w:tcPr>
            <w:tcW w:type="dxa" w:w="2268"/>
          </w:tcPr>
          <w:p>
            <w:r/>
            <w:r>
              <w:rPr>
                <w:rFonts w:ascii="Calibri" w:hAnsi="Calibri"/>
                <w:sz w:val="20"/>
              </w:rPr>
              <w:t>200</w:t>
            </w:r>
          </w:p>
        </w:tc>
      </w:tr>
      <w:tr>
        <w:tc>
          <w:tcPr>
            <w:tcW w:type="dxa" w:w="1134"/>
            <w:shd w:val="clear" w:color="auto" w:fill="EEF2FB"/>
          </w:tcPr>
          <w:p>
            <w:r/>
            <w:r>
              <w:rPr>
                <w:rFonts w:ascii="Calibri" w:hAnsi="Calibri"/>
                <w:sz w:val="20"/>
              </w:rPr>
              <w:t>API-02</w:t>
            </w:r>
          </w:p>
        </w:tc>
        <w:tc>
          <w:tcPr>
            <w:tcW w:type="dxa" w:w="3118"/>
            <w:shd w:val="clear" w:color="auto" w:fill="EEF2FB"/>
          </w:tcPr>
          <w:p>
            <w:r/>
            <w:r>
              <w:rPr>
                <w:rFonts w:ascii="Calibri" w:hAnsi="Calibri"/>
                <w:sz w:val="20"/>
              </w:rPr>
              <w:t>Login válido</w:t>
            </w:r>
          </w:p>
        </w:tc>
        <w:tc>
          <w:tcPr>
            <w:tcW w:type="dxa" w:w="2551"/>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200 + token</w:t>
            </w:r>
          </w:p>
        </w:tc>
      </w:tr>
      <w:tr>
        <w:tc>
          <w:tcPr>
            <w:tcW w:type="dxa" w:w="1134"/>
          </w:tcPr>
          <w:p>
            <w:r/>
            <w:r>
              <w:rPr>
                <w:rFonts w:ascii="Calibri" w:hAnsi="Calibri"/>
                <w:sz w:val="20"/>
              </w:rPr>
              <w:t>API-03</w:t>
            </w:r>
          </w:p>
        </w:tc>
        <w:tc>
          <w:tcPr>
            <w:tcW w:type="dxa" w:w="3118"/>
          </w:tcPr>
          <w:p>
            <w:r/>
            <w:r>
              <w:rPr>
                <w:rFonts w:ascii="Calibri" w:hAnsi="Calibri"/>
                <w:sz w:val="20"/>
              </w:rPr>
              <w:t>Login con clave incorrecta</w:t>
            </w:r>
          </w:p>
        </w:tc>
        <w:tc>
          <w:tcPr>
            <w:tcW w:type="dxa" w:w="2551"/>
          </w:tcPr>
          <w:p>
            <w:r/>
            <w:r>
              <w:rPr>
                <w:rFonts w:ascii="Calibri" w:hAnsi="Calibri"/>
                <w:sz w:val="20"/>
              </w:rPr>
              <w:t>POST /auth/v1/token</w:t>
            </w:r>
          </w:p>
        </w:tc>
        <w:tc>
          <w:tcPr>
            <w:tcW w:type="dxa" w:w="2268"/>
          </w:tcPr>
          <w:p>
            <w:r/>
            <w:r>
              <w:rPr>
                <w:rFonts w:ascii="Calibri" w:hAnsi="Calibri"/>
                <w:sz w:val="20"/>
              </w:rPr>
              <w:t>400</w:t>
            </w:r>
          </w:p>
        </w:tc>
      </w:tr>
      <w:tr>
        <w:tc>
          <w:tcPr>
            <w:tcW w:type="dxa" w:w="1134"/>
            <w:shd w:val="clear" w:color="auto" w:fill="EEF2FB"/>
          </w:tcPr>
          <w:p>
            <w:r/>
            <w:r>
              <w:rPr>
                <w:rFonts w:ascii="Calibri" w:hAnsi="Calibri"/>
                <w:sz w:val="20"/>
              </w:rPr>
              <w:t>API-04</w:t>
            </w:r>
          </w:p>
        </w:tc>
        <w:tc>
          <w:tcPr>
            <w:tcW w:type="dxa" w:w="3118"/>
            <w:shd w:val="clear" w:color="auto" w:fill="EEF2FB"/>
          </w:tcPr>
          <w:p>
            <w:r/>
            <w:r>
              <w:rPr>
                <w:rFonts w:ascii="Calibri" w:hAnsi="Calibri"/>
                <w:sz w:val="20"/>
              </w:rPr>
              <w:t>Lectura autenticada de tablas</w:t>
            </w:r>
          </w:p>
        </w:tc>
        <w:tc>
          <w:tcPr>
            <w:tcW w:type="dxa" w:w="2551"/>
            <w:shd w:val="clear" w:color="auto" w:fill="EEF2FB"/>
          </w:tcPr>
          <w:p>
            <w:r/>
            <w:r>
              <w:rPr>
                <w:rFonts w:ascii="Calibri" w:hAnsi="Calibri"/>
                <w:sz w:val="20"/>
              </w:rPr>
              <w:t>GET /rest/v1/{tabla}</w:t>
            </w:r>
          </w:p>
        </w:tc>
        <w:tc>
          <w:tcPr>
            <w:tcW w:type="dxa" w:w="2268"/>
            <w:shd w:val="clear" w:color="auto" w:fill="EEF2FB"/>
          </w:tcPr>
          <w:p>
            <w:r/>
            <w:r>
              <w:rPr>
                <w:rFonts w:ascii="Calibri" w:hAnsi="Calibri"/>
                <w:sz w:val="20"/>
              </w:rPr>
              <w:t>200 + arreglo</w:t>
            </w:r>
          </w:p>
        </w:tc>
      </w:tr>
      <w:tr>
        <w:tc>
          <w:tcPr>
            <w:tcW w:type="dxa" w:w="1134"/>
          </w:tcPr>
          <w:p>
            <w:r/>
            <w:r>
              <w:rPr>
                <w:rFonts w:ascii="Calibri" w:hAnsi="Calibri"/>
                <w:sz w:val="20"/>
              </w:rPr>
              <w:t>API-05</w:t>
            </w:r>
          </w:p>
        </w:tc>
        <w:tc>
          <w:tcPr>
            <w:tcW w:type="dxa" w:w="3118"/>
          </w:tcPr>
          <w:p>
            <w:r/>
            <w:r>
              <w:rPr>
                <w:rFonts w:ascii="Calibri" w:hAnsi="Calibri"/>
                <w:sz w:val="20"/>
              </w:rPr>
              <w:t>Bloqueo por RLS sin token</w:t>
            </w:r>
          </w:p>
        </w:tc>
        <w:tc>
          <w:tcPr>
            <w:tcW w:type="dxa" w:w="2551"/>
          </w:tcPr>
          <w:p>
            <w:r/>
            <w:r>
              <w:rPr>
                <w:rFonts w:ascii="Calibri" w:hAnsi="Calibri"/>
                <w:sz w:val="20"/>
              </w:rPr>
              <w:t>GET /rest/v1/usuarios</w:t>
            </w:r>
          </w:p>
        </w:tc>
        <w:tc>
          <w:tcPr>
            <w:tcW w:type="dxa" w:w="2268"/>
          </w:tcPr>
          <w:p>
            <w:r/>
            <w:r>
              <w:rPr>
                <w:rFonts w:ascii="Calibri" w:hAnsi="Calibri"/>
                <w:sz w:val="20"/>
              </w:rPr>
              <w:t>401/403</w:t>
            </w:r>
          </w:p>
        </w:tc>
      </w:tr>
    </w:tbl>
    <w:p>
      <w:pPr>
        <w:spacing w:after="80"/>
      </w:pP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 ] Panel de Secrets del repositorio con los nombres de los secretos (sin sus valores): SUPABASE_URL, SUPABASE_ANON_KEY, FITCORE_TEST_EMAIL, FITCORE_TEST_PASSWORD. Pendiente: se configuran en Settings &gt; Secrets and variables &gt; Actions; son credenciales de Supabase que solo posee el equipo. Mientras no existan, el job api omite la prueba de contrato (dejándolo en verde) y el APK se compila en modo demo.</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 ] Postman con la colección FitCore - API Supabase (RA U2) importada y el runner con todos los checks en verde. Pendiente: requiere el usuario de prueba de Supabase.</w:t>
      </w:r>
    </w:p>
    <w:p>
      <w:pPr>
        <w:pStyle w:val="ListBullet"/>
        <w:spacing w:after="40"/>
      </w:pPr>
      <w:r>
        <w:rPr>
          <w:rFonts w:ascii="Calibri" w:hAnsi="Calibri"/>
        </w:rPr>
        <w:t>[ ] Terminal con la ejecución de Newman y su resumen de resultados. Pendiente: igual que el anterior (secretos de Supabase).</w:t>
      </w:r>
    </w:p>
    <w:p>
      <w:pPr>
        <w:pStyle w:val="ListBullet"/>
        <w:spacing w:after="40"/>
      </w:pPr>
      <w:r>
        <w:rPr>
          <w:rFonts w:ascii="Calibri" w:hAnsi="Calibri"/>
        </w:rPr>
        <w:t>[x] Reporte HTML de Newman publicado como artifact reporte-api en la ejecución #2; en ausencia de secretos el reporte deja constancia explícita de la omisión y de cómo habilitarla.</w:t>
      </w: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Aplicación FitCore instalada y funcionando en el emulador (pantalla de login y panel administrativo), con el modo demo (admin@fitcore.com / admin123).</w:t>
      </w:r>
    </w:p>
    <w:p>
      <w:pPr>
        <w:pStyle w:val="Heading2"/>
      </w:pPr>
      <w:r>
        <w:rPr>
          <w:rFonts w:ascii="Calibri" w:hAnsi="Calibri"/>
          <w:color w:val="1E40AF"/>
        </w:rPr>
        <w:t>9.6 Backend Supabase</w:t>
      </w:r>
    </w:p>
    <w:p>
      <w:pPr>
        <w:pStyle w:val="ListBullet"/>
        <w:spacing w:after="40"/>
      </w:pPr>
      <w:r>
        <w:rPr>
          <w:rFonts w:ascii="Calibri" w:hAnsi="Calibri"/>
        </w:rPr>
        <w:t>[ ] Tabla de Table Editor de Supabase con las 8 tablas creadas (usuarios, clases, rutinas, membresias, pagos, avisos, planes, info_gimnasio). Pendiente: ejecutar supabase/esquema.sql y supabase/esquema_extra.sql en el SQL Editor.</w:t>
      </w:r>
    </w:p>
    <w:p>
      <w:pPr>
        <w:pStyle w:val="ListBullet"/>
        <w:spacing w:after="40"/>
      </w:pPr>
      <w:r>
        <w:rPr>
          <w:rFonts w:ascii="Calibri" w:hAnsi="Calibri"/>
        </w:rPr>
        <w:t>[ ] Configuración de RLS activa en las tablas. Pendiente: se activa junto con el esquema anterior.</w:t>
      </w:r>
    </w:p>
    <w:p>
      <w:pPr>
        <w:pStyle w:val="ListBullet"/>
        <w:spacing w:after="40"/>
      </w:pPr>
      <w:r>
        <w:rPr>
          <w:rFonts w:ascii="Calibri" w:hAnsi="Calibri"/>
        </w:rPr>
        <w:t>[ ] Usuario de prueba registrado y habilitado para las pruebas de API. Pendiente: alta en Supabase Auth con correo confirmado.</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