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Control de versiones</w:t>
            </w:r>
          </w:p>
        </w:tc>
        <w:tc>
          <w:tcPr>
            <w:tcW w:type="dxa" w:w="3402"/>
            <w:shd w:val="clear" w:color="auto" w:fill="EEF2FB"/>
          </w:tcPr>
          <w:p>
            <w:r/>
            <w:r>
              <w:rPr>
                <w:rFonts w:ascii="Calibri" w:hAnsi="Calibri"/>
                <w:sz w:val="20"/>
              </w:rPr>
              <w:t>Git 2.56 + GitHub</w:t>
            </w:r>
          </w:p>
        </w:tc>
        <w:tc>
          <w:tcPr>
            <w:tcW w:type="dxa" w:w="3402"/>
            <w:shd w:val="clear" w:color="auto" w:fill="EEF2FB"/>
          </w:tcPr>
          <w:p>
            <w:r/>
            <w:r>
              <w:rPr>
                <w:rFonts w:ascii="Calibri" w:hAnsi="Calibri"/>
                <w:sz w:val="20"/>
              </w:rPr>
              <w:t>Versionado</w:t>
            </w:r>
          </w:p>
        </w:tc>
      </w:tr>
      <w:tr>
        <w:tc>
          <w:tcPr>
            <w:tcW w:type="dxa" w:w="2268"/>
          </w:tcPr>
          <w:p>
            <w:r/>
            <w:r>
              <w:rPr>
                <w:rFonts w:ascii="Calibri" w:hAnsi="Calibri"/>
                <w:sz w:val="20"/>
              </w:rPr>
              <w:t>CI/CD</w:t>
            </w:r>
          </w:p>
        </w:tc>
        <w:tc>
          <w:tcPr>
            <w:tcW w:type="dxa" w:w="3402"/>
          </w:tcPr>
          <w:p>
            <w:r/>
            <w:r>
              <w:rPr>
                <w:rFonts w:ascii="Calibri" w:hAnsi="Calibri"/>
                <w:sz w:val="20"/>
              </w:rPr>
              <w:t>GitHub Actions</w:t>
            </w:r>
          </w:p>
        </w:tc>
        <w:tc>
          <w:tcPr>
            <w:tcW w:type="dxa" w:w="3402"/>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Supabase RLS</w:t>
            </w:r>
          </w:p>
        </w:tc>
        <w:tc>
          <w:tcPr>
            <w:tcW w:type="dxa" w:w="3402"/>
            <w:shd w:val="clear" w:color="auto" w:fill="EEF2FB"/>
          </w:tcPr>
          <w:p>
            <w:r/>
            <w:r>
              <w:rPr>
                <w:rFonts w:ascii="Calibri" w:hAnsi="Calibri"/>
                <w:sz w:val="20"/>
              </w:rPr>
              <w:t>supabase/esquema*.sql</w:t>
            </w:r>
          </w:p>
        </w:tc>
        <w:tc>
          <w:tcPr>
            <w:tcW w:type="dxa" w:w="3855"/>
            <w:shd w:val="clear" w:color="auto" w:fill="EEF2FB"/>
          </w:tcPr>
          <w:p>
            <w:r/>
            <w:r>
              <w:rPr>
                <w:rFonts w:ascii="Calibri" w:hAnsi="Calibri"/>
                <w:sz w:val="20"/>
              </w:rPr>
              <w:t>Función es_admin(), políticas por tabla y rol</w:t>
            </w:r>
          </w:p>
        </w:tc>
      </w:tr>
      <w:tr>
        <w:tc>
          <w:tcPr>
            <w:tcW w:type="dxa" w:w="1814"/>
          </w:tcPr>
          <w:p>
            <w:r/>
            <w:r>
              <w:rPr>
                <w:rFonts w:ascii="Calibri" w:hAnsi="Calibri"/>
                <w:sz w:val="20"/>
              </w:rPr>
              <w:t>Git / DevOps</w:t>
            </w:r>
          </w:p>
        </w:tc>
        <w:tc>
          <w:tcPr>
            <w:tcW w:type="dxa" w:w="3402"/>
          </w:tcPr>
          <w:p>
            <w:r/>
            <w:r>
              <w:rPr>
                <w:rFonts w:ascii="Calibri" w:hAnsi="Calibri"/>
                <w:sz w:val="20"/>
              </w:rPr>
              <w:t>.gitignore</w:t>
            </w:r>
          </w:p>
        </w:tc>
        <w:tc>
          <w:tcPr>
            <w:tcW w:type="dxa" w:w="3855"/>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 prueba 'Health — REST responde' de Newman confirma que el servicio REST está operativo;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y api-tests/FitCore.postman_environment.json.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587"/>
            <w:shd w:val="clear" w:color="auto" w:fill="1E40AF"/>
          </w:tcPr>
          <w:p>
            <w:pPr>
              <w:jc w:val="center"/>
            </w:pPr>
            <w:r/>
            <w:r>
              <w:rPr>
                <w:rFonts w:ascii="Calibri" w:hAnsi="Calibri"/>
                <w:b/>
                <w:color w:val="FFFFFF"/>
                <w:sz w:val="20"/>
              </w:rPr>
              <w:t>Grupo</w:t>
            </w:r>
          </w:p>
        </w:tc>
        <w:tc>
          <w:tcPr>
            <w:tcW w:type="dxa" w:w="1701"/>
            <w:shd w:val="clear" w:color="auto" w:fill="1E40AF"/>
          </w:tcPr>
          <w:p>
            <w:pPr>
              <w:jc w:val="center"/>
            </w:pPr>
            <w:r/>
            <w:r>
              <w:rPr>
                <w:rFonts w:ascii="Calibri" w:hAnsi="Calibri"/>
                <w:b/>
                <w:color w:val="FFFFFF"/>
                <w:sz w:val="20"/>
              </w:rPr>
              <w:t>Petición</w:t>
            </w:r>
          </w:p>
        </w:tc>
        <w:tc>
          <w:tcPr>
            <w:tcW w:type="dxa" w:w="3685"/>
            <w:shd w:val="clear" w:color="auto" w:fill="1E40AF"/>
          </w:tcPr>
          <w:p>
            <w:pPr>
              <w:jc w:val="center"/>
            </w:pPr>
            <w:r/>
            <w:r>
              <w:rPr>
                <w:rFonts w:ascii="Calibri" w:hAnsi="Calibri"/>
                <w:b/>
                <w:color w:val="FFFFFF"/>
                <w:sz w:val="20"/>
              </w:rPr>
              <w:t>Endpoint</w:t>
            </w:r>
          </w:p>
        </w:tc>
        <w:tc>
          <w:tcPr>
            <w:tcW w:type="dxa" w:w="2381"/>
            <w:shd w:val="clear" w:color="auto" w:fill="1E40AF"/>
          </w:tcPr>
          <w:p>
            <w:pPr>
              <w:jc w:val="center"/>
            </w:pPr>
            <w:r/>
            <w:r>
              <w:rPr>
                <w:rFonts w:ascii="Calibri" w:hAnsi="Calibri"/>
                <w:b/>
                <w:color w:val="FFFFFF"/>
                <w:sz w:val="20"/>
              </w:rPr>
              <w:t>Aserción</w:t>
            </w:r>
          </w:p>
        </w:tc>
      </w:tr>
      <w:tr>
        <w:tc>
          <w:tcPr>
            <w:tcW w:type="dxa" w:w="1587"/>
          </w:tcPr>
          <w:p>
            <w:r/>
            <w:r>
              <w:rPr>
                <w:rFonts w:ascii="Calibri" w:hAnsi="Calibri"/>
                <w:sz w:val="20"/>
              </w:rPr>
              <w:t>Autenticación</w:t>
            </w:r>
          </w:p>
        </w:tc>
        <w:tc>
          <w:tcPr>
            <w:tcW w:type="dxa" w:w="1701"/>
          </w:tcPr>
          <w:p>
            <w:r/>
            <w:r>
              <w:rPr>
                <w:rFonts w:ascii="Calibri" w:hAnsi="Calibri"/>
                <w:sz w:val="20"/>
              </w:rPr>
              <w:t>Health REST</w:t>
            </w:r>
          </w:p>
        </w:tc>
        <w:tc>
          <w:tcPr>
            <w:tcW w:type="dxa" w:w="3685"/>
          </w:tcPr>
          <w:p>
            <w:r/>
            <w:r>
              <w:rPr>
                <w:rFonts w:ascii="Calibri" w:hAnsi="Calibri"/>
                <w:sz w:val="20"/>
              </w:rPr>
              <w:t>GET /rest/v1/</w:t>
            </w:r>
          </w:p>
        </w:tc>
        <w:tc>
          <w:tcPr>
            <w:tcW w:type="dxa" w:w="2381"/>
          </w:tcPr>
          <w:p>
            <w:r/>
            <w:r>
              <w:rPr>
                <w:rFonts w:ascii="Calibri" w:hAnsi="Calibri"/>
                <w:sz w:val="20"/>
              </w:rPr>
              <w:t>200, &lt; 1500 ms</w:t>
            </w:r>
          </w:p>
        </w:tc>
      </w:tr>
      <w:tr>
        <w:tc>
          <w:tcPr>
            <w:tcW w:type="dxa" w:w="1587"/>
            <w:shd w:val="clear" w:color="auto" w:fill="EEF2FB"/>
          </w:tcPr>
          <w:p>
            <w:r/>
            <w:r>
              <w:rPr>
                <w:rFonts w:ascii="Calibri" w:hAnsi="Calibri"/>
                <w:sz w:val="20"/>
              </w:rPr>
              <w:t>Autenticación</w:t>
            </w:r>
          </w:p>
        </w:tc>
        <w:tc>
          <w:tcPr>
            <w:tcW w:type="dxa" w:w="1701"/>
            <w:shd w:val="clear" w:color="auto" w:fill="EEF2FB"/>
          </w:tcPr>
          <w:p>
            <w:r/>
            <w:r>
              <w:rPr>
                <w:rFonts w:ascii="Calibri" w:hAnsi="Calibri"/>
                <w:sz w:val="20"/>
              </w:rPr>
              <w:t>Sign in</w:t>
            </w:r>
          </w:p>
        </w:tc>
        <w:tc>
          <w:tcPr>
            <w:tcW w:type="dxa" w:w="3685"/>
            <w:shd w:val="clear" w:color="auto" w:fill="EEF2FB"/>
          </w:tcPr>
          <w:p>
            <w:r/>
            <w:r>
              <w:rPr>
                <w:rFonts w:ascii="Calibri" w:hAnsi="Calibri"/>
                <w:sz w:val="20"/>
              </w:rPr>
              <w:t>POST /auth/v1/token?grant_type=password</w:t>
            </w:r>
          </w:p>
        </w:tc>
        <w:tc>
          <w:tcPr>
            <w:tcW w:type="dxa" w:w="2381"/>
            <w:shd w:val="clear" w:color="auto" w:fill="EEF2FB"/>
          </w:tcPr>
          <w:p>
            <w:r/>
            <w:r>
              <w:rPr>
                <w:rFonts w:ascii="Calibri" w:hAnsi="Calibri"/>
                <w:sz w:val="20"/>
              </w:rPr>
              <w:t>200, access_token, user</w:t>
            </w:r>
          </w:p>
        </w:tc>
      </w:tr>
      <w:tr>
        <w:tc>
          <w:tcPr>
            <w:tcW w:type="dxa" w:w="1587"/>
          </w:tcPr>
          <w:p>
            <w:r/>
            <w:r>
              <w:rPr>
                <w:rFonts w:ascii="Calibri" w:hAnsi="Calibri"/>
                <w:sz w:val="20"/>
              </w:rPr>
              <w:t>Autenticación</w:t>
            </w:r>
          </w:p>
        </w:tc>
        <w:tc>
          <w:tcPr>
            <w:tcW w:type="dxa" w:w="1701"/>
          </w:tcPr>
          <w:p>
            <w:r/>
            <w:r>
              <w:rPr>
                <w:rFonts w:ascii="Calibri" w:hAnsi="Calibri"/>
                <w:sz w:val="20"/>
              </w:rPr>
              <w:t>Login inválido</w:t>
            </w:r>
          </w:p>
        </w:tc>
        <w:tc>
          <w:tcPr>
            <w:tcW w:type="dxa" w:w="3685"/>
          </w:tcPr>
          <w:p>
            <w:r/>
            <w:r>
              <w:rPr>
                <w:rFonts w:ascii="Calibri" w:hAnsi="Calibri"/>
                <w:sz w:val="20"/>
              </w:rPr>
              <w:t>POST /auth/v1/token</w:t>
            </w:r>
          </w:p>
        </w:tc>
        <w:tc>
          <w:tcPr>
            <w:tcW w:type="dxa" w:w="2381"/>
          </w:tcPr>
          <w:p>
            <w:r/>
            <w:r>
              <w:rPr>
                <w:rFonts w:ascii="Calibri" w:hAnsi="Calibri"/>
                <w:sz w:val="20"/>
              </w:rPr>
              <w:t>400</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usuarios</w:t>
            </w:r>
          </w:p>
        </w:tc>
        <w:tc>
          <w:tcPr>
            <w:tcW w:type="dxa" w:w="3685"/>
            <w:shd w:val="clear" w:color="auto" w:fill="EEF2FB"/>
          </w:tcPr>
          <w:p>
            <w:r/>
            <w:r>
              <w:rPr>
                <w:rFonts w:ascii="Calibri" w:hAnsi="Calibri"/>
                <w:sz w:val="20"/>
              </w:rPr>
              <w:t>GET /rest/v1/usuarios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clases</w:t>
            </w:r>
          </w:p>
        </w:tc>
        <w:tc>
          <w:tcPr>
            <w:tcW w:type="dxa" w:w="3685"/>
          </w:tcPr>
          <w:p>
            <w:r/>
            <w:r>
              <w:rPr>
                <w:rFonts w:ascii="Calibri" w:hAnsi="Calibri"/>
                <w:sz w:val="20"/>
              </w:rPr>
              <w:t>GET /rest/v1/clases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membresias</w:t>
            </w:r>
          </w:p>
        </w:tc>
        <w:tc>
          <w:tcPr>
            <w:tcW w:type="dxa" w:w="3685"/>
            <w:shd w:val="clear" w:color="auto" w:fill="EEF2FB"/>
          </w:tcPr>
          <w:p>
            <w:r/>
            <w:r>
              <w:rPr>
                <w:rFonts w:ascii="Calibri" w:hAnsi="Calibri"/>
                <w:sz w:val="20"/>
              </w:rPr>
              <w:t>GET /rest/v1/membresias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pagos</w:t>
            </w:r>
          </w:p>
        </w:tc>
        <w:tc>
          <w:tcPr>
            <w:tcW w:type="dxa" w:w="3685"/>
          </w:tcPr>
          <w:p>
            <w:r/>
            <w:r>
              <w:rPr>
                <w:rFonts w:ascii="Calibri" w:hAnsi="Calibri"/>
                <w:sz w:val="20"/>
              </w:rPr>
              <w:t>GET /rest/v1/pagos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avisos</w:t>
            </w:r>
          </w:p>
        </w:tc>
        <w:tc>
          <w:tcPr>
            <w:tcW w:type="dxa" w:w="3685"/>
            <w:shd w:val="clear" w:color="auto" w:fill="EEF2FB"/>
          </w:tcPr>
          <w:p>
            <w:r/>
            <w:r>
              <w:rPr>
                <w:rFonts w:ascii="Calibri" w:hAnsi="Calibri"/>
                <w:sz w:val="20"/>
              </w:rPr>
              <w:t>GET /rest/v1/avisos</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PostgREST</w:t>
            </w:r>
          </w:p>
        </w:tc>
        <w:tc>
          <w:tcPr>
            <w:tcW w:type="dxa" w:w="1701"/>
          </w:tcPr>
          <w:p>
            <w:r/>
            <w:r>
              <w:rPr>
                <w:rFonts w:ascii="Calibri" w:hAnsi="Calibri"/>
                <w:sz w:val="20"/>
              </w:rPr>
              <w:t>planes</w:t>
            </w:r>
          </w:p>
        </w:tc>
        <w:tc>
          <w:tcPr>
            <w:tcW w:type="dxa" w:w="3685"/>
          </w:tcPr>
          <w:p>
            <w:r/>
            <w:r>
              <w:rPr>
                <w:rFonts w:ascii="Calibri" w:hAnsi="Calibri"/>
                <w:sz w:val="20"/>
              </w:rPr>
              <w:t>GET /rest/v1/planes</w:t>
            </w:r>
          </w:p>
        </w:tc>
        <w:tc>
          <w:tcPr>
            <w:tcW w:type="dxa" w:w="2381"/>
          </w:tcPr>
          <w:p>
            <w:r/>
            <w:r>
              <w:rPr>
                <w:rFonts w:ascii="Calibri" w:hAnsi="Calibri"/>
                <w:sz w:val="20"/>
              </w:rPr>
              <w:t>200, arreglo</w:t>
            </w:r>
          </w:p>
        </w:tc>
      </w:tr>
      <w:tr>
        <w:tc>
          <w:tcPr>
            <w:tcW w:type="dxa" w:w="1587"/>
            <w:shd w:val="clear" w:color="auto" w:fill="EEF2FB"/>
          </w:tcPr>
          <w:p>
            <w:r/>
            <w:r>
              <w:rPr>
                <w:rFonts w:ascii="Calibri" w:hAnsi="Calibri"/>
                <w:sz w:val="20"/>
              </w:rPr>
              <w:t>PostgREST</w:t>
            </w:r>
          </w:p>
        </w:tc>
        <w:tc>
          <w:tcPr>
            <w:tcW w:type="dxa" w:w="1701"/>
            <w:shd w:val="clear" w:color="auto" w:fill="EEF2FB"/>
          </w:tcPr>
          <w:p>
            <w:r/>
            <w:r>
              <w:rPr>
                <w:rFonts w:ascii="Calibri" w:hAnsi="Calibri"/>
                <w:sz w:val="20"/>
              </w:rPr>
              <w:t>info_gimnasio</w:t>
            </w:r>
          </w:p>
        </w:tc>
        <w:tc>
          <w:tcPr>
            <w:tcW w:type="dxa" w:w="3685"/>
            <w:shd w:val="clear" w:color="auto" w:fill="EEF2FB"/>
          </w:tcPr>
          <w:p>
            <w:r/>
            <w:r>
              <w:rPr>
                <w:rFonts w:ascii="Calibri" w:hAnsi="Calibri"/>
                <w:sz w:val="20"/>
              </w:rPr>
              <w:t>GET /rest/v1/info_gimnasio</w:t>
            </w:r>
          </w:p>
        </w:tc>
        <w:tc>
          <w:tcPr>
            <w:tcW w:type="dxa" w:w="2381"/>
            <w:shd w:val="clear" w:color="auto" w:fill="EEF2FB"/>
          </w:tcPr>
          <w:p>
            <w:r/>
            <w:r>
              <w:rPr>
                <w:rFonts w:ascii="Calibri" w:hAnsi="Calibri"/>
                <w:sz w:val="20"/>
              </w:rPr>
              <w:t>200, arreglo</w:t>
            </w:r>
          </w:p>
        </w:tc>
      </w:tr>
      <w:tr>
        <w:tc>
          <w:tcPr>
            <w:tcW w:type="dxa" w:w="1587"/>
          </w:tcPr>
          <w:p>
            <w:r/>
            <w:r>
              <w:rPr>
                <w:rFonts w:ascii="Calibri" w:hAnsi="Calibri"/>
                <w:sz w:val="20"/>
              </w:rPr>
              <w:t>Seguridad</w:t>
            </w:r>
          </w:p>
        </w:tc>
        <w:tc>
          <w:tcPr>
            <w:tcW w:type="dxa" w:w="1701"/>
          </w:tcPr>
          <w:p>
            <w:r/>
            <w:r>
              <w:rPr>
                <w:rFonts w:ascii="Calibri" w:hAnsi="Calibri"/>
                <w:sz w:val="20"/>
              </w:rPr>
              <w:t>Sin token (RLS)</w:t>
            </w:r>
          </w:p>
        </w:tc>
        <w:tc>
          <w:tcPr>
            <w:tcW w:type="dxa" w:w="3685"/>
          </w:tcPr>
          <w:p>
            <w:r/>
            <w:r>
              <w:rPr>
                <w:rFonts w:ascii="Calibri" w:hAnsi="Calibri"/>
                <w:sz w:val="20"/>
              </w:rPr>
              <w:t>GET /rest/v1/usuarios</w:t>
            </w:r>
          </w:p>
        </w:tc>
        <w:tc>
          <w:tcPr>
            <w:tcW w:type="dxa" w:w="2381"/>
          </w:tcPr>
          <w:p>
            <w:r/>
            <w:r>
              <w:rPr>
                <w:rFonts w:ascii="Calibri" w:hAnsi="Calibri"/>
                <w:sz w:val="20"/>
              </w:rPr>
              <w:t>401/403</w:t>
            </w:r>
          </w:p>
        </w:tc>
      </w:tr>
    </w:tbl>
    <w:p>
      <w:pPr>
        <w:spacing w:after="80"/>
      </w:pPr>
    </w:p>
    <w:p>
      <w:pPr>
        <w:spacing w:after="120" w:line="276" w:lineRule="auto"/>
      </w:pPr>
      <w:r>
        <w:rPr>
          <w:rFonts w:ascii="Calibri" w:hAnsi="Calibri"/>
          <w:b w:val="0"/>
          <w:i w:val="0"/>
        </w:rPr>
        <w:t>Justificación: probar la API con Postman/Newman valida el contrato entre la aplicación y Supabase de forma independiente a la interfaz. La petición 'Sin token (RLS)' demuestra objetivamente que las políticas de seguridad están activas, y automatizar la colección permite que estas pruebas corran en cada ejecución del pipeline.</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Artefacto de liberación</w:t>
            </w:r>
          </w:p>
        </w:tc>
        <w:tc>
          <w:tcPr>
            <w:tcW w:type="dxa" w:w="6236"/>
            <w:shd w:val="clear" w:color="auto" w:fill="EEF2FB"/>
          </w:tcPr>
          <w:p>
            <w:r/>
            <w:r>
              <w:rPr>
                <w:rFonts w:ascii="Calibri" w:hAnsi="Calibri"/>
                <w:sz w:val="20"/>
              </w:rPr>
              <w:t>fitcore-apk (build/app/outputs/flutter-apk/app-release.apk)</w:t>
            </w:r>
          </w:p>
        </w:tc>
      </w:tr>
      <w:tr>
        <w:tc>
          <w:tcPr>
            <w:tcW w:type="dxa" w:w="2835"/>
          </w:tcPr>
          <w:p>
            <w:r/>
            <w:r>
              <w:rPr>
                <w:rFonts w:ascii="Calibri" w:hAnsi="Calibri"/>
                <w:sz w:val="20"/>
              </w:rPr>
              <w:t>Release</w:t>
            </w:r>
          </w:p>
        </w:tc>
        <w:tc>
          <w:tcPr>
            <w:tcW w:type="dxa" w:w="6236"/>
          </w:tcPr>
          <w:p>
            <w:r/>
            <w:r>
              <w:rPr>
                <w:rFonts w:ascii="Calibri" w:hAnsi="Calibri"/>
                <w:sz w:val="20"/>
              </w:rPr>
              <w:t>v1.0.0+1-2 — «FitCore v1.0.0+1 (build 2)», generada por el job despliegue, con el asset app-release.apk (53 MB): https://github.com/brenivargas09-sys/Fitcore/releases/tag/v1.0.0%2B1-2</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2551"/>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r>
      <w:tr>
        <w:tc>
          <w:tcPr>
            <w:tcW w:type="dxa" w:w="1134"/>
          </w:tcPr>
          <w:p>
            <w:r/>
            <w:r>
              <w:rPr>
                <w:rFonts w:ascii="Calibri" w:hAnsi="Calibri"/>
                <w:sz w:val="20"/>
              </w:rPr>
              <w:t>API-01</w:t>
            </w:r>
          </w:p>
        </w:tc>
        <w:tc>
          <w:tcPr>
            <w:tcW w:type="dxa" w:w="3118"/>
          </w:tcPr>
          <w:p>
            <w:r/>
            <w:r>
              <w:rPr>
                <w:rFonts w:ascii="Calibri" w:hAnsi="Calibri"/>
                <w:sz w:val="20"/>
              </w:rPr>
              <w:t>Servicio REST disponible</w:t>
            </w:r>
          </w:p>
        </w:tc>
        <w:tc>
          <w:tcPr>
            <w:tcW w:type="dxa" w:w="2551"/>
          </w:tcPr>
          <w:p>
            <w:r/>
            <w:r>
              <w:rPr>
                <w:rFonts w:ascii="Calibri" w:hAnsi="Calibri"/>
                <w:sz w:val="20"/>
              </w:rPr>
              <w:t>GET /rest/v1/</w:t>
            </w:r>
          </w:p>
        </w:tc>
        <w:tc>
          <w:tcPr>
            <w:tcW w:type="dxa" w:w="2268"/>
          </w:tcPr>
          <w:p>
            <w:r/>
            <w:r>
              <w:rPr>
                <w:rFonts w:ascii="Calibri" w:hAnsi="Calibri"/>
                <w:sz w:val="20"/>
              </w:rPr>
              <w:t>200</w:t>
            </w:r>
          </w:p>
        </w:tc>
      </w:tr>
      <w:tr>
        <w:tc>
          <w:tcPr>
            <w:tcW w:type="dxa" w:w="1134"/>
            <w:shd w:val="clear" w:color="auto" w:fill="EEF2FB"/>
          </w:tcPr>
          <w:p>
            <w:r/>
            <w:r>
              <w:rPr>
                <w:rFonts w:ascii="Calibri" w:hAnsi="Calibri"/>
                <w:sz w:val="20"/>
              </w:rPr>
              <w:t>API-02</w:t>
            </w:r>
          </w:p>
        </w:tc>
        <w:tc>
          <w:tcPr>
            <w:tcW w:type="dxa" w:w="3118"/>
            <w:shd w:val="clear" w:color="auto" w:fill="EEF2FB"/>
          </w:tcPr>
          <w:p>
            <w:r/>
            <w:r>
              <w:rPr>
                <w:rFonts w:ascii="Calibri" w:hAnsi="Calibri"/>
                <w:sz w:val="20"/>
              </w:rPr>
              <w:t>Login válido</w:t>
            </w:r>
          </w:p>
        </w:tc>
        <w:tc>
          <w:tcPr>
            <w:tcW w:type="dxa" w:w="2551"/>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200 + token</w:t>
            </w:r>
          </w:p>
        </w:tc>
      </w:tr>
      <w:tr>
        <w:tc>
          <w:tcPr>
            <w:tcW w:type="dxa" w:w="1134"/>
          </w:tcPr>
          <w:p>
            <w:r/>
            <w:r>
              <w:rPr>
                <w:rFonts w:ascii="Calibri" w:hAnsi="Calibri"/>
                <w:sz w:val="20"/>
              </w:rPr>
              <w:t>API-03</w:t>
            </w:r>
          </w:p>
        </w:tc>
        <w:tc>
          <w:tcPr>
            <w:tcW w:type="dxa" w:w="3118"/>
          </w:tcPr>
          <w:p>
            <w:r/>
            <w:r>
              <w:rPr>
                <w:rFonts w:ascii="Calibri" w:hAnsi="Calibri"/>
                <w:sz w:val="20"/>
              </w:rPr>
              <w:t>Login con clave incorrecta</w:t>
            </w:r>
          </w:p>
        </w:tc>
        <w:tc>
          <w:tcPr>
            <w:tcW w:type="dxa" w:w="2551"/>
          </w:tcPr>
          <w:p>
            <w:r/>
            <w:r>
              <w:rPr>
                <w:rFonts w:ascii="Calibri" w:hAnsi="Calibri"/>
                <w:sz w:val="20"/>
              </w:rPr>
              <w:t>POST /auth/v1/token</w:t>
            </w:r>
          </w:p>
        </w:tc>
        <w:tc>
          <w:tcPr>
            <w:tcW w:type="dxa" w:w="2268"/>
          </w:tcPr>
          <w:p>
            <w:r/>
            <w:r>
              <w:rPr>
                <w:rFonts w:ascii="Calibri" w:hAnsi="Calibri"/>
                <w:sz w:val="20"/>
              </w:rPr>
              <w:t>400</w:t>
            </w:r>
          </w:p>
        </w:tc>
      </w:tr>
      <w:tr>
        <w:tc>
          <w:tcPr>
            <w:tcW w:type="dxa" w:w="1134"/>
            <w:shd w:val="clear" w:color="auto" w:fill="EEF2FB"/>
          </w:tcPr>
          <w:p>
            <w:r/>
            <w:r>
              <w:rPr>
                <w:rFonts w:ascii="Calibri" w:hAnsi="Calibri"/>
                <w:sz w:val="20"/>
              </w:rPr>
              <w:t>API-04</w:t>
            </w:r>
          </w:p>
        </w:tc>
        <w:tc>
          <w:tcPr>
            <w:tcW w:type="dxa" w:w="3118"/>
            <w:shd w:val="clear" w:color="auto" w:fill="EEF2FB"/>
          </w:tcPr>
          <w:p>
            <w:r/>
            <w:r>
              <w:rPr>
                <w:rFonts w:ascii="Calibri" w:hAnsi="Calibri"/>
                <w:sz w:val="20"/>
              </w:rPr>
              <w:t>Lectura autenticada de tablas</w:t>
            </w:r>
          </w:p>
        </w:tc>
        <w:tc>
          <w:tcPr>
            <w:tcW w:type="dxa" w:w="2551"/>
            <w:shd w:val="clear" w:color="auto" w:fill="EEF2FB"/>
          </w:tcPr>
          <w:p>
            <w:r/>
            <w:r>
              <w:rPr>
                <w:rFonts w:ascii="Calibri" w:hAnsi="Calibri"/>
                <w:sz w:val="20"/>
              </w:rPr>
              <w:t>GET /rest/v1/{tabla}</w:t>
            </w:r>
          </w:p>
        </w:tc>
        <w:tc>
          <w:tcPr>
            <w:tcW w:type="dxa" w:w="2268"/>
            <w:shd w:val="clear" w:color="auto" w:fill="EEF2FB"/>
          </w:tcPr>
          <w:p>
            <w:r/>
            <w:r>
              <w:rPr>
                <w:rFonts w:ascii="Calibri" w:hAnsi="Calibri"/>
                <w:sz w:val="20"/>
              </w:rPr>
              <w:t>200 + arreglo</w:t>
            </w:r>
          </w:p>
        </w:tc>
      </w:tr>
      <w:tr>
        <w:tc>
          <w:tcPr>
            <w:tcW w:type="dxa" w:w="1134"/>
          </w:tcPr>
          <w:p>
            <w:r/>
            <w:r>
              <w:rPr>
                <w:rFonts w:ascii="Calibri" w:hAnsi="Calibri"/>
                <w:sz w:val="20"/>
              </w:rPr>
              <w:t>API-05</w:t>
            </w:r>
          </w:p>
        </w:tc>
        <w:tc>
          <w:tcPr>
            <w:tcW w:type="dxa" w:w="3118"/>
          </w:tcPr>
          <w:p>
            <w:r/>
            <w:r>
              <w:rPr>
                <w:rFonts w:ascii="Calibri" w:hAnsi="Calibri"/>
                <w:sz w:val="20"/>
              </w:rPr>
              <w:t>Bloqueo por RLS sin token</w:t>
            </w:r>
          </w:p>
        </w:tc>
        <w:tc>
          <w:tcPr>
            <w:tcW w:type="dxa" w:w="2551"/>
          </w:tcPr>
          <w:p>
            <w:r/>
            <w:r>
              <w:rPr>
                <w:rFonts w:ascii="Calibri" w:hAnsi="Calibri"/>
                <w:sz w:val="20"/>
              </w:rPr>
              <w:t>GET /rest/v1/usuarios</w:t>
            </w:r>
          </w:p>
        </w:tc>
        <w:tc>
          <w:tcPr>
            <w:tcW w:type="dxa" w:w="2268"/>
          </w:tcPr>
          <w:p>
            <w:r/>
            <w:r>
              <w:rPr>
                <w:rFonts w:ascii="Calibri" w:hAnsi="Calibri"/>
                <w:sz w:val="20"/>
              </w:rPr>
              <w:t>401/403</w:t>
            </w:r>
          </w:p>
        </w:tc>
      </w:tr>
    </w:tbl>
    <w:p>
      <w:pPr>
        <w:spacing w:after="80"/>
      </w:pP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 Las capturas de pantalla se versionan en la carpeta docs/evidencias/ del repositorio.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 ] Panel de Secrets del repositorio con los nombres de los secretos (sin sus valores): SUPABASE_URL, SUPABASE_ANON_KEY, FITCORE_TEST_EMAIL, FITCORE_TEST_PASSWORD. Pendiente: se configuran en Settings &gt; Secrets and variables &gt; Actions; son credenciales de Supabase que solo posee el equipo. Mientras no existan, el job api omite la prueba de contrato (dejándolo en verde) y el APK se compila en modo demo.</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 ] Postman con la colección FitCore - API Supabase (RA U2) importada y el runner con todos los checks en verde. Pendiente: requiere el usuario de prueba de Supabase.</w:t>
      </w:r>
    </w:p>
    <w:p>
      <w:pPr>
        <w:pStyle w:val="ListBullet"/>
        <w:spacing w:after="40"/>
      </w:pPr>
      <w:r>
        <w:rPr>
          <w:rFonts w:ascii="Calibri" w:hAnsi="Calibri"/>
        </w:rPr>
        <w:t>[ ] Terminal con la ejecución de Newman y su resumen de resultados. Pendiente: igual que el anterior (secretos de Supabase).</w:t>
      </w:r>
    </w:p>
    <w:p>
      <w:pPr>
        <w:pStyle w:val="ListBullet"/>
        <w:spacing w:after="40"/>
      </w:pPr>
      <w:r>
        <w:rPr>
          <w:rFonts w:ascii="Calibri" w:hAnsi="Calibri"/>
        </w:rPr>
        <w:t>[x] Reporte HTML de Newman publicado como artifact reporte-api en la ejecución #2; en ausencia de secretos el reporte deja constancia explícita de la omisión y de cómo habilitarla.</w:t>
      </w: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APK de release instalado en un dispositivo Android virtual (adb install build/app/outputs/flutter-apk/app-release.apk; paquete com.fitcore.fitcore), con la actividad com.fitcore.fitcore/.MainActivity ejecutándose correctamente.</w:t>
      </w:r>
    </w:p>
    <w:p>
      <w:pPr>
        <w:pStyle w:val="ListBullet"/>
        <w:spacing w:after="40"/>
      </w:pPr>
      <w:r>
        <w:rPr>
          <w:rFonts w:ascii="Calibri" w:hAnsi="Calibri"/>
        </w:rPr>
        <w:t>[x] Aplicación ejecutada de extremo a extremo con el modo demo (admin@fitcore.com / admin123): compilación flutter build web --release, servidor local python -m http.server 8080 sobre build/web, inicio de sesión y navegación por el panel administrativo (dashboard Inicio y módulo Pagos). Capturas en docs/evidencias/: 01_login.png (pantalla de acceso), 02_login_relleno.png (formulario con las credenciales de demo cargadas), 03_panel_admin.png (dashboard Inicio: 3 socios, 1 entrenador, 3 membresías activas, $119.70 de ingresos del mes, clases de hoy y últimos pagos) y 04_modulo_pagos.png (módulo Pagos: $119.70 cobrados, 3 pagos y botón Registrar pago).</w:t>
      </w:r>
    </w:p>
    <w:p>
      <w:pPr>
        <w:pStyle w:val="ListBullet"/>
        <w:spacing w:after="40"/>
      </w:pPr>
      <w:r>
        <w:rPr>
          <w:rFonts w:ascii="Calibri" w:hAnsi="Calibri"/>
        </w:rPr>
        <w:t>Las capturas de la interfaz se tomaron sobre la compilación web (mismo código, mismos repositorios y misma base de datos en memoria del modo demo) porque el dispositivo Android virtual disponible en el entorno de trabajo no mantuvo estable la sesión interactiva; el APK de release sí se instaló y arrancó correctamente en el emulador.</w:t>
      </w:r>
    </w:p>
    <w:p>
      <w:pPr>
        <w:pStyle w:val="Heading2"/>
      </w:pPr>
      <w:r>
        <w:rPr>
          <w:rFonts w:ascii="Calibri" w:hAnsi="Calibri"/>
          <w:color w:val="1E40AF"/>
        </w:rPr>
        <w:t>9.6 Backend Supabase</w:t>
      </w:r>
    </w:p>
    <w:p>
      <w:pPr>
        <w:pStyle w:val="ListBullet"/>
        <w:spacing w:after="40"/>
      </w:pPr>
      <w:r>
        <w:rPr>
          <w:rFonts w:ascii="Calibri" w:hAnsi="Calibri"/>
        </w:rPr>
        <w:t>[ ] Tabla de Table Editor de Supabase con las 8 tablas creadas (usuarios, clases, rutinas, membresias, pagos, avisos, planes, info_gimnasio). Pendiente: ejecutar supabase/esquema.sql y supabase/esquema_extra.sql en el SQL Editor.</w:t>
      </w:r>
    </w:p>
    <w:p>
      <w:pPr>
        <w:pStyle w:val="ListBullet"/>
        <w:spacing w:after="40"/>
      </w:pPr>
      <w:r>
        <w:rPr>
          <w:rFonts w:ascii="Calibri" w:hAnsi="Calibri"/>
        </w:rPr>
        <w:t>[ ] Configuración de RLS activa en las tablas. Pendiente: se activa junto con el esquema anterior.</w:t>
      </w:r>
    </w:p>
    <w:p>
      <w:pPr>
        <w:pStyle w:val="ListBullet"/>
        <w:spacing w:after="40"/>
      </w:pPr>
      <w:r>
        <w:rPr>
          <w:rFonts w:ascii="Calibri" w:hAnsi="Calibri"/>
        </w:rPr>
        <w:t>[ ] Usuario de prueba registrado y habilitado para las pruebas de API. Pendiente: alta en Supabase Auth con correo confirmado.</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