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C0392B"/>
          <w:spacing w:val="200"/>
          <w:sz w:val="22"/>
          <w:szCs w:val="22"/>
        </w:rPr>
        <w:t xml:space="preserve">METHODOLOGICAL AUDIT</w:t>
      </w:r>
    </w:p>
    <w:p>
      <w:pPr>
        <w:spacing w:after="120"/>
        <w:jc w:val="center"/>
      </w:pPr>
      <w:r>
        <w:rPr>
          <w:rFonts w:ascii="Arial" w:cs="Arial" w:eastAsia="Arial" w:hAnsi="Arial"/>
          <w:b/>
          <w:bCs/>
          <w:color w:val="1B3A5C"/>
          <w:sz w:val="56"/>
          <w:szCs w:val="56"/>
        </w:rPr>
        <w:t xml:space="preserve">APE Benchmarking Suite</w:t>
      </w:r>
    </w:p>
    <w:p>
      <w:pPr>
        <w:spacing w:after="600"/>
        <w:jc w:val="center"/>
      </w:pPr>
      <w:r>
        <w:rPr>
          <w:rFonts w:ascii="Arial" w:cs="Arial" w:eastAsia="Arial" w:hAnsi="Arial"/>
          <w:i/>
          <w:iCs/>
          <w:color w:val="555555"/>
          <w:sz w:val="26"/>
          <w:szCs w:val="26"/>
        </w:rPr>
        <w:t xml:space="preserve">Why Early Results Show No Effect of Workflow Format on Adherence</w:t>
      </w:r>
    </w:p>
    <w:p>
      <w:pPr>
        <w:pBdr>
          <w:top w:val="single" w:color="1B3A5C" w:sz="6" w:space="1"/>
        </w:pBdr>
        <w:spacing w:after="200" w:before="400"/>
        <w:jc w:val="center"/>
      </w:pPr>
    </w:p>
    <w:p>
      <w:pPr>
        <w:spacing w:after="80"/>
        <w:jc w:val="center"/>
      </w:pPr>
      <w:r>
        <w:rPr>
          <w:color w:val="555555"/>
          <w:sz w:val="22"/>
          <w:szCs w:val="22"/>
        </w:rPr>
        <w:t xml:space="preserve">Prepared for: Brenna</w:t>
      </w:r>
    </w:p>
    <w:p>
      <w:pPr>
        <w:spacing w:after="80"/>
        <w:jc w:val="center"/>
      </w:pPr>
      <w:r>
        <w:rPr>
          <w:color w:val="555555"/>
          <w:sz w:val="22"/>
          <w:szCs w:val="22"/>
        </w:rPr>
        <w:t xml:space="preserve">Date: March 13, 2026</w:t>
      </w:r>
    </w:p>
    <w:p>
      <w:pPr>
        <w:spacing w:after="80"/>
        <w:jc w:val="center"/>
      </w:pPr>
      <w:r>
        <w:rPr>
          <w:color w:val="555555"/>
          <w:sz w:val="22"/>
          <w:szCs w:val="22"/>
        </w:rPr>
        <w:t xml:space="preserve">Classification: Internal Research Review</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t xml:space="preserve">Your instinct is correct: there </w:t>
      </w:r>
      <w:r>
        <w:rPr>
          <w:b/>
          <w:bCs/>
        </w:rPr>
        <w:t xml:space="preserve">is</w:t>
      </w:r>
      <w:r>
        <w:t xml:space="preserve"> something wrong with these results. After a thorough code-level audit of every component in the APE benchmarking suite, including the evaluator, operators, trace parser, runner, environment isolation, test configurations, prompt templates, and raw output data, I have identified multiple compounding methodological flaws that individually would weaken the results and collectively render the current benchmark incapable of detecting workflow format effects.</w:t>
      </w:r>
    </w:p>
    <w:p>
      <w:pPr>
        <w:spacing w:after="160"/>
      </w:pPr>
      <w:r>
        <w:rPr>
          <w:b/>
          <w:bCs/>
        </w:rPr>
        <w:t xml:space="preserve">The core finding is this: the benchmark is not measuring workflow adherence. </w:t>
      </w:r>
      <w:r>
        <w:t xml:space="preserve">It is measuring whether an LLM invokes a roughly expected set of shell commands in a roughly expected order. This is a necessary but radically insufficient proxy for adherence. The evaluation checks whether </w:t>
      </w:r>
      <w:r>
        <w:rPr>
          <w:i/>
          <w:iCs/>
        </w:rPr>
        <w:t xml:space="preserve">cargo test ran</w:t>
      </w:r>
      <w:r>
        <w:t xml:space="preserve">, not whether tests passed. It checks whether </w:t>
      </w:r>
      <w:r>
        <w:rPr>
          <w:i/>
          <w:iCs/>
        </w:rPr>
        <w:t xml:space="preserve">cargo clippy ran</w:t>
      </w:r>
      <w:r>
        <w:t xml:space="preserve">, not whether lint warnings were addressed. It checks whether </w:t>
      </w:r>
      <w:r>
        <w:rPr>
          <w:i/>
          <w:iCs/>
        </w:rPr>
        <w:t xml:space="preserve">git commit ran</w:t>
      </w:r>
      <w:r>
        <w:t xml:space="preserve">, not whether the commit message followed the prescribed format. The difference between these is precisely where workflow format effects would manifest.</w:t>
      </w:r>
    </w:p>
    <w:p>
      <w:pPr>
        <w:spacing w:after="160"/>
      </w:pPr>
      <w:r>
        <w:t xml:space="preserve">The finding that no-workflow performs comparably to structured formats is not evidence that workflows are useless. It is evidence that the instrument cannot distinguish between genuine adherence and superficial command execution. This is a measurement problem, not a workflow problem.</w:t>
      </w:r>
    </w:p>
    <w:p>
      <w:pPr>
        <w:spacing w:after="100"/>
      </w:pPr>
    </w:p>
    <w:p>
      <w:pPr>
        <w:pStyle w:val="Heading2"/>
      </w:pPr>
      <w: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w:t>
            </w:r>
          </w:p>
        </w:tc>
        <w:tc>
          <w:tcPr>
            <w:tcW w:type="dxa" w:w="14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Severity</w:t>
            </w:r>
          </w:p>
        </w:tc>
        <w:tc>
          <w:tcPr>
            <w:tcW w:type="dxa" w:w="376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 on Results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Evaluation checks tool invocation, not outcomes</w:t>
            </w:r>
          </w:p>
        </w:tc>
        <w:tc>
          <w:tcPr>
            <w:tcW w:type="dxa" w:w="14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Critical</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Cannot distinguish real adherence from superficial compliance</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~47% of checks are skipped (unimplemented metrics)</w:t>
            </w:r>
          </w:p>
        </w:tc>
        <w:tc>
          <w:tcPr>
            <w:tcW w:type="dxa" w:w="14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Critical</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Nearly half the rubric is missing, including highest-signal checks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tdd_prove_tests_fail: 0% across ALL formats</w:t>
            </w:r>
          </w:p>
        </w:tc>
        <w:tc>
          <w:tcPr>
            <w:tcW w:type="dxa" w:w="14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Critical</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Core TDD check universally fails, suggesting evaluator bug</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n=3-4 per condition, no statistical tests</w:t>
            </w:r>
          </w:p>
        </w:tc>
        <w:tc>
          <w:tcPr>
            <w:tcW w:type="dxa" w:w="14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High</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Insufficient power to detect real effects</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Prompts contain embedded verification cues</w:t>
            </w:r>
          </w:p>
        </w:tc>
        <w:tc>
          <w:tcPr>
            <w:tcW w:type="dxa" w:w="14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High</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Baseline is contaminated; not a true no-workflow control</w:t>
            </w:r>
          </w:p>
        </w:tc>
      </w:tr>
      <w:tr>
        <w:trPr>
          <w:tblHeader w:val="false"/>
        </w:trPr>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Vacuous truth in operators masks failures</w:t>
            </w:r>
          </w:p>
        </w:tc>
        <w:tc>
          <w:tcPr>
            <w:tcW w:type="dxa" w:w="14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Medium</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Empty input lists auto-pass many sequence checks</w:t>
            </w:r>
          </w:p>
        </w:tc>
      </w:tr>
    </w:tbl>
    <w:p>
      <w:r>
        <w:br w:type="page"/>
      </w:r>
    </w:p>
    <w:p>
      <w:pPr>
        <w:pStyle w:val="Heading1"/>
      </w:pPr>
      <w:r>
        <w:t xml:space="preserve">1. Scope and Methodology of This Audit</w:t>
      </w:r>
    </w:p>
    <w:p>
      <w:pPr>
        <w:spacing w:after="160"/>
      </w:pPr>
      <w:r>
        <w:t xml:space="preserve">This audit examines the complete APE benchmarking pipeline: from test case definition through execution, trace parsing, evaluation, scoring, and reporting. Every Python source file, YAML configuration, JSON output record, and fixture file in the benchmark directory was read and analyzed. The audit focused on answering one question: if the benchmark shows no effect of workflow format on adherence, is that a valid scientific finding or a measurement artifact?</w:t>
      </w:r>
    </w:p>
    <w:p>
      <w:pPr>
        <w:pStyle w:val="Heading2"/>
      </w:pPr>
      <w:r>
        <w:t xml:space="preserve">1.1 Files Examined</w:t>
      </w:r>
    </w:p>
    <w:p>
      <w:pPr>
        <w:pStyle w:val="ListParagraph"/>
        <w:numPr>
          <w:ilvl w:val="0"/>
          <w:numId w:val="2"/>
        </w:numPr>
        <w:spacing w:after="80"/>
      </w:pPr>
      <w:r>
        <w:t xml:space="preserve">evaluator.py (1,452 lines) and operators.py (392 lines): Core scoring logic</w:t>
      </w:r>
    </w:p>
    <w:p>
      <w:pPr>
        <w:pStyle w:val="ListParagraph"/>
        <w:numPr>
          <w:ilvl w:val="0"/>
          <w:numId w:val="2"/>
        </w:numPr>
        <w:spacing w:after="80"/>
      </w:pPr>
      <w:r>
        <w:t xml:space="preserve">runner.py (636 lines) and environment.py (446 lines): Execution and workspace isolation</w:t>
      </w:r>
    </w:p>
    <w:p>
      <w:pPr>
        <w:pStyle w:val="ListParagraph"/>
        <w:numPr>
          <w:ilvl w:val="0"/>
          <w:numId w:val="2"/>
        </w:numPr>
        <w:spacing w:after="80"/>
      </w:pPr>
      <w:r>
        <w:t xml:space="preserve">trace.py (462 lines): Session log parsing into structured tool call sequences</w:t>
      </w:r>
    </w:p>
    <w:p>
      <w:pPr>
        <w:pStyle w:val="ListParagraph"/>
        <w:numPr>
          <w:ilvl w:val="0"/>
          <w:numId w:val="2"/>
        </w:numPr>
        <w:spacing w:after="80"/>
      </w:pPr>
      <w:r>
        <w:t xml:space="preserve">bivvy.yml test-config (523 lines): 32 checks across 9 workflow phases</w:t>
      </w:r>
    </w:p>
    <w:p>
      <w:pPr>
        <w:pStyle w:val="ListParagraph"/>
        <w:numPr>
          <w:ilvl w:val="0"/>
          <w:numId w:val="2"/>
        </w:numPr>
        <w:spacing w:after="80"/>
      </w:pPr>
      <w:r>
        <w:t xml:space="preserve">All 4 prompt templates (bugs.yml, new_features.yml, untested_code.yml, architectural_issues.yml)</w:t>
      </w:r>
    </w:p>
    <w:p>
      <w:pPr>
        <w:pStyle w:val="ListParagraph"/>
        <w:numPr>
          <w:ilvl w:val="0"/>
          <w:numId w:val="2"/>
        </w:numPr>
        <w:spacing w:after="80"/>
      </w:pPr>
      <w:r>
        <w:t xml:space="preserve">App config (bivvy.yml): 12 test items across 4 categories</w:t>
      </w:r>
    </w:p>
    <w:p>
      <w:pPr>
        <w:pStyle w:val="ListParagraph"/>
        <w:numPr>
          <w:ilvl w:val="0"/>
          <w:numId w:val="2"/>
        </w:numPr>
        <w:spacing w:after="80"/>
      </w:pPr>
      <w:r>
        <w:t xml:space="preserve">All 14 raw output JSON files across 5 format conditions</w:t>
      </w:r>
    </w:p>
    <w:p>
      <w:pPr>
        <w:pStyle w:val="ListParagraph"/>
        <w:numPr>
          <w:ilvl w:val="0"/>
          <w:numId w:val="2"/>
        </w:numPr>
        <w:spacing w:after="80"/>
      </w:pPr>
      <w:r>
        <w:t xml:space="preserve">Fixture workflow files (APE, markdown, plain-text, adhoc-xml, no-workflow)</w:t>
      </w:r>
    </w:p>
    <w:p>
      <w:pPr>
        <w:pStyle w:val="ListParagraph"/>
        <w:numPr>
          <w:ilvl w:val="0"/>
          <w:numId w:val="2"/>
        </w:numPr>
        <w:spacing w:after="80"/>
      </w:pPr>
      <w:r>
        <w:t xml:space="preserve">Statistical and reporting modules (bootstrap.py, effect_size.py, generate_report.py)</w:t>
      </w:r>
    </w:p>
    <w:p>
      <w:r>
        <w:br w:type="page"/>
      </w:r>
    </w:p>
    <w:p>
      <w:pPr>
        <w:pStyle w:val="Heading1"/>
      </w:pPr>
      <w:r>
        <w:t xml:space="preserve">2. What the Benchmark Evaluates</w:t>
      </w:r>
    </w:p>
    <w:p>
      <w:pPr>
        <w:spacing w:after="160"/>
      </w:pPr>
      <w:r>
        <w:t xml:space="preserve">The benchmark tests a single Rust project (Bivvy, an interactive development environment CLI) across four task categories: bug fixes, untested code, architectural issues, and new features. Each task is presented as a natural user request without disclosing the root cause or prescribing an approach.</w:t>
      </w:r>
    </w:p>
    <w:p>
      <w:pPr>
        <w:pStyle w:val="Heading2"/>
      </w:pPr>
      <w:r>
        <w:t xml:space="preserve">2.1 The Workflow Under Test</w:t>
      </w:r>
    </w:p>
    <w:p>
      <w:pPr>
        <w:spacing w:after="160"/>
      </w:pPr>
      <w:r>
        <w:t xml:space="preserve">The workflow being evaluated is a strict test-driven development (TDD) pipeline with 9 ordered phases:</w:t>
      </w:r>
    </w:p>
    <w:p>
      <w:pPr>
        <w:pStyle w:val="ListParagraph"/>
        <w:numPr>
          <w:ilvl w:val="0"/>
          <w:numId w:val="3"/>
        </w:numPr>
        <w:spacing w:after="80"/>
      </w:pPr>
      <w:r>
        <w:rPr>
          <w:b/>
          <w:bCs/>
        </w:rPr>
        <w:t xml:space="preserve">tdd_specify</w:t>
      </w:r>
      <w:r>
        <w:t xml:space="preserve"> — Write or update tests before implementation</w:t>
      </w:r>
    </w:p>
    <w:p>
      <w:pPr>
        <w:pStyle w:val="ListParagraph"/>
        <w:numPr>
          <w:ilvl w:val="0"/>
          <w:numId w:val="3"/>
        </w:numPr>
        <w:spacing w:after="80"/>
      </w:pPr>
      <w:r>
        <w:rPr>
          <w:b/>
          <w:bCs/>
        </w:rPr>
        <w:t xml:space="preserve">tdd_prove_fail</w:t>
      </w:r>
      <w:r>
        <w:t xml:space="preserve"> — Run tests to confirm they fail (proving the test actually tests something)</w:t>
      </w:r>
    </w:p>
    <w:p>
      <w:pPr>
        <w:pStyle w:val="ListParagraph"/>
        <w:numPr>
          <w:ilvl w:val="0"/>
          <w:numId w:val="3"/>
        </w:numPr>
        <w:spacing w:after="80"/>
      </w:pPr>
      <w:r>
        <w:rPr>
          <w:b/>
          <w:bCs/>
        </w:rPr>
        <w:t xml:space="preserve">implementation</w:t>
      </w:r>
      <w:r>
        <w:t xml:space="preserve"> — Write the production code</w:t>
      </w:r>
    </w:p>
    <w:p>
      <w:pPr>
        <w:pStyle w:val="ListParagraph"/>
        <w:numPr>
          <w:ilvl w:val="0"/>
          <w:numId w:val="3"/>
        </w:numPr>
        <w:spacing w:after="80"/>
      </w:pPr>
      <w:r>
        <w:rPr>
          <w:b/>
          <w:bCs/>
        </w:rPr>
        <w:t xml:space="preserve">documentation</w:t>
      </w:r>
      <w:r>
        <w:t xml:space="preserve"> — Generate and update documentation (cargo doc)</w:t>
      </w:r>
    </w:p>
    <w:p>
      <w:pPr>
        <w:pStyle w:val="ListParagraph"/>
        <w:numPr>
          <w:ilvl w:val="0"/>
          <w:numId w:val="3"/>
        </w:numPr>
        <w:spacing w:after="80"/>
      </w:pPr>
      <w:r>
        <w:rPr>
          <w:b/>
          <w:bCs/>
        </w:rPr>
        <w:t xml:space="preserve">linting</w:t>
      </w:r>
      <w:r>
        <w:t xml:space="preserve"> — Run cargo fmt and cargo clippy</w:t>
      </w:r>
    </w:p>
    <w:p>
      <w:pPr>
        <w:pStyle w:val="ListParagraph"/>
        <w:numPr>
          <w:ilvl w:val="0"/>
          <w:numId w:val="3"/>
        </w:numPr>
        <w:spacing w:after="80"/>
      </w:pPr>
      <w:r>
        <w:rPr>
          <w:b/>
          <w:bCs/>
        </w:rPr>
        <w:t xml:space="preserve">testing</w:t>
      </w:r>
      <w:r>
        <w:t xml:space="preserve"> — Run full test suite with coverage verification</w:t>
      </w:r>
    </w:p>
    <w:p>
      <w:pPr>
        <w:pStyle w:val="ListParagraph"/>
        <w:numPr>
          <w:ilvl w:val="0"/>
          <w:numId w:val="3"/>
        </w:numPr>
        <w:spacing w:after="80"/>
      </w:pPr>
      <w:r>
        <w:rPr>
          <w:b/>
          <w:bCs/>
        </w:rPr>
        <w:t xml:space="preserve">build</w:t>
      </w:r>
      <w:r>
        <w:t xml:space="preserve"> — Build both dev and release targets</w:t>
      </w:r>
    </w:p>
    <w:p>
      <w:pPr>
        <w:pStyle w:val="ListParagraph"/>
        <w:numPr>
          <w:ilvl w:val="0"/>
          <w:numId w:val="3"/>
        </w:numPr>
        <w:spacing w:after="80"/>
      </w:pPr>
      <w:r>
        <w:rPr>
          <w:b/>
          <w:bCs/>
        </w:rPr>
        <w:t xml:space="preserve">commit</w:t>
      </w:r>
      <w:r>
        <w:t xml:space="preserve"> — Create atomic commits with properly formatted messages</w:t>
      </w:r>
    </w:p>
    <w:p>
      <w:pPr>
        <w:pStyle w:val="ListParagraph"/>
        <w:numPr>
          <w:ilvl w:val="0"/>
          <w:numId w:val="3"/>
        </w:numPr>
        <w:spacing w:after="80"/>
      </w:pPr>
      <w:r>
        <w:rPr>
          <w:b/>
          <w:bCs/>
        </w:rPr>
        <w:t xml:space="preserve">post_commit</w:t>
      </w:r>
      <w:r>
        <w:t xml:space="preserve"> — Re-verify tests and builds after committing</w:t>
      </w:r>
    </w:p>
    <w:p>
      <w:pPr>
        <w:spacing w:after="160"/>
      </w:pPr>
      <w:r>
        <w:t xml:space="preserve">This is an ambitious workflow. It represents a disciplined, professional development practice that most human developers would struggle to follow consistently. The benchmark asks: does presenting this workflow in different formats (APE XML, markdown, plain text, ad-hoc XML, or not at all) affect how closely Claude Code adheres to it?</w:t>
      </w:r>
    </w:p>
    <w:p>
      <w:pPr>
        <w:pStyle w:val="Heading2"/>
      </w:pPr>
      <w:r>
        <w:t xml:space="preserve">2.2 The 32 Evaluation Checks</w:t>
      </w:r>
    </w:p>
    <w:p>
      <w:pPr>
        <w:spacing w:after="160"/>
      </w:pPr>
      <w:r>
        <w:t xml:space="preserve">The test configuration defines 32 individual checks spanning all 9 phases. Each check specifies a metric to extract from the execution trace, an operator to apply, and a target value. For example:</w:t>
      </w:r>
    </w:p>
    <w:p>
      <w:pPr>
        <w:pStyle w:val="ListParagraph"/>
        <w:numPr>
          <w:ilvl w:val="0"/>
          <w:numId w:val="2"/>
        </w:numPr>
        <w:spacing w:after="80"/>
      </w:pPr>
      <w:r>
        <w:rPr>
          <w:b/>
          <w:bCs/>
        </w:rPr>
        <w:t xml:space="preserve">phase_ordering</w:t>
      </w:r>
      <w:r>
        <w:t xml:space="preserve">: The observed phase sequence must be a strictly ordered subset of the defined pipeline</w:t>
      </w:r>
    </w:p>
    <w:p>
      <w:pPr>
        <w:pStyle w:val="ListParagraph"/>
        <w:numPr>
          <w:ilvl w:val="0"/>
          <w:numId w:val="2"/>
        </w:numPr>
        <w:spacing w:after="80"/>
      </w:pPr>
      <w:r>
        <w:rPr>
          <w:b/>
          <w:bCs/>
        </w:rPr>
        <w:t xml:space="preserve">tdd_tests_before_implementation</w:t>
      </w:r>
      <w:r>
        <w:t xml:space="preserve">: File modifications to test files must strictly precede modifications to src/ files</w:t>
      </w:r>
    </w:p>
    <w:p>
      <w:pPr>
        <w:pStyle w:val="ListParagraph"/>
        <w:numPr>
          <w:ilvl w:val="0"/>
          <w:numId w:val="2"/>
        </w:numPr>
        <w:spacing w:after="80"/>
      </w:pPr>
      <w:r>
        <w:rPr>
          <w:b/>
          <w:bCs/>
        </w:rPr>
        <w:t xml:space="preserve">lint_before_testing</w:t>
      </w:r>
      <w:r>
        <w:t xml:space="preserve">: cargo fmt must run before cargo test</w:t>
      </w:r>
    </w:p>
    <w:p>
      <w:pPr>
        <w:pStyle w:val="ListParagraph"/>
        <w:numPr>
          <w:ilvl w:val="0"/>
          <w:numId w:val="2"/>
        </w:numPr>
        <w:spacing w:after="80"/>
      </w:pPr>
      <w:r>
        <w:rPr>
          <w:b/>
          <w:bCs/>
        </w:rPr>
        <w:t xml:space="preserve">run_clippy</w:t>
      </w:r>
      <w:r>
        <w:t xml:space="preserve">: cargo clippy must be invoked at least once</w:t>
      </w:r>
    </w:p>
    <w:p>
      <w:pPr>
        <w:pStyle w:val="ListParagraph"/>
        <w:numPr>
          <w:ilvl w:val="0"/>
          <w:numId w:val="2"/>
        </w:numPr>
        <w:spacing w:after="80"/>
      </w:pPr>
      <w:r>
        <w:rPr>
          <w:b/>
          <w:bCs/>
        </w:rPr>
        <w:t xml:space="preserve">no_git_add_dot</w:t>
      </w:r>
      <w:r>
        <w:t xml:space="preserve">: No invocation of git add . (must use selective staging)</w:t>
      </w:r>
    </w:p>
    <w:p>
      <w:pPr>
        <w:pStyle w:val="ListParagraph"/>
        <w:numPr>
          <w:ilvl w:val="0"/>
          <w:numId w:val="2"/>
        </w:numPr>
        <w:spacing w:after="80"/>
      </w:pPr>
      <w:r>
        <w:rPr>
          <w:b/>
          <w:bCs/>
        </w:rPr>
        <w:t xml:space="preserve">build_before_commit</w:t>
      </w:r>
      <w:r>
        <w:t xml:space="preserve">: cargo build must run before git commit</w:t>
      </w:r>
    </w:p>
    <w:p>
      <w:pPr>
        <w:pStyle w:val="Heading2"/>
      </w:pPr>
      <w:r>
        <w:t xml:space="preserve">2.3 The Experimental Design</w:t>
      </w:r>
    </w:p>
    <w:p>
      <w:pPr>
        <w:spacing w:after="160"/>
      </w:pPr>
      <w:r>
        <w:t xml:space="preserve">The independent variable is the workflow format, with five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Format</w:t>
            </w:r>
          </w:p>
        </w:tc>
        <w:tc>
          <w:tcPr>
            <w:tcW w:type="dxa" w:w="24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Delivery Method</w:t>
            </w:r>
          </w:p>
        </w:tc>
        <w:tc>
          <w:tcPr>
            <w:tcW w:type="dxa" w:w="516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no-workflow</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Nothing provided</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Baseline: no workflow document of any kind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plain-text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Prepended to prompt</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Narrative prose instructions, injected into the user message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markdown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CLAUDE.md in workspace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Structured markdown with headings and numbered steps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adhoc-xml</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Fixture files kept</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XML workflow files already present in the project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ape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CLAUDE.md in workspace</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APE-format structured XML workflow document</w:t>
            </w:r>
          </w:p>
        </w:tc>
      </w:tr>
    </w:tbl>
    <w:p>
      <w:pPr>
        <w:spacing w:after="100"/>
      </w:pPr>
    </w:p>
    <w:p>
      <w:pPr>
        <w:spacing w:after="160"/>
      </w:pPr>
      <w:r>
        <w:t xml:space="preserve">Each condition is tested with 3-4 runs per bug-fix task, yielding approximately 14 total runs across the dataset examined.</w:t>
      </w:r>
    </w:p>
    <w:p>
      <w:r>
        <w:br w:type="page"/>
      </w:r>
    </w:p>
    <w:p>
      <w:pPr>
        <w:pStyle w:val="Heading1"/>
      </w:pPr>
      <w:r>
        <w:t xml:space="preserve">3. Critical Methodological Flaws</w:t>
      </w:r>
    </w:p>
    <w:p>
      <w:pPr>
        <w:spacing w:after="160"/>
      </w:pPr>
      <w:r>
        <w:t xml:space="preserve">The following issues are ordered by severity. Any one of them would compromise the validity of format-comparison conclusions. Together, they make the current results uninterpretable for that purpose.</w:t>
      </w:r>
    </w:p>
    <w:p>
      <w:pPr>
        <w:pStyle w:val="Heading2"/>
      </w:pPr>
      <w:r>
        <w:t xml:space="preserve">3.1 The Evaluation Measures Invocation, Not Adherence</w:t>
      </w:r>
    </w:p>
    <w:p>
      <w:pPr>
        <w:spacing w:after="160"/>
      </w:pPr>
      <w:r>
        <w:t xml:space="preserve">This is the single most important finding of this audit. The evaluator operates on </w:t>
      </w:r>
      <w:r>
        <w:rPr>
          <w:b/>
          <w:bCs/>
        </w:rPr>
        <w:t xml:space="preserve">tool call traces</w:t>
      </w:r>
      <w:r>
        <w:t xml:space="preserve">: structured logs of which tools Claude Code invoked (Bash, Read, Write, Edit, etc.) and what arguments were passed. Checks are evaluated by extracting event indices from these traces and applying sequence operators.</w:t>
      </w:r>
    </w:p>
    <w:p>
      <w:pPr>
        <w:spacing w:after="160"/>
      </w:pPr>
      <w:r>
        <w:t xml:space="preserve">The fundamental problem is that this captures the action but not the outcome. Consider what the evaluator actually verifies versus what workflow adherence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Check</w:t>
            </w:r>
          </w:p>
        </w:tc>
        <w:tc>
          <w:tcPr>
            <w:tcW w:type="dxa" w:w="358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the Evaluator Verifies</w:t>
            </w:r>
          </w:p>
        </w:tc>
        <w:tc>
          <w:tcPr>
            <w:tcW w:type="dxa" w:w="358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Adherence Actually Requires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run_clippy</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clippy was invoked at least once</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Clippy ran, warnings were reviewed, and code was corrected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verify_tests_after_changes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test was invoked after implementation</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were run AND all tests passed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doc_before_linting</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doc ran before cargo fmt</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Documentation built successfully before formatting was applied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build_before_commit</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build ran before git commit</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Build succeeded (exit code 0) before changes were committed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tdd_prove_tests_fail</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test ran between test-writing and implementation</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were run AND they failed (proving coverage of the defect)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run_coverage</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cargo llvm-cov was invoked</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Coverage was checked AND met the 90% threshold</w:t>
            </w:r>
          </w:p>
        </w:tc>
      </w:tr>
    </w:tbl>
    <w:p>
      <w:pPr>
        <w:spacing w:after="100"/>
      </w:pPr>
    </w:p>
    <w:p>
      <w:pPr>
        <w:spacing w:after="160"/>
      </w:pPr>
      <w:r>
        <w:t xml:space="preserve">The gap between these columns is exactly where format effects would manifest. A model given a detailed, structured workflow might not only </w:t>
      </w:r>
      <w:r>
        <w:rPr>
          <w:i/>
          <w:iCs/>
        </w:rPr>
        <w:t xml:space="preserve">run</w:t>
      </w:r>
      <w:r>
        <w:t xml:space="preserve"> cargo clippy but also </w:t>
      </w:r>
      <w:r>
        <w:rPr>
          <w:i/>
          <w:iCs/>
        </w:rPr>
        <w:t xml:space="preserve">read the output, identify warnings, and fix them</w:t>
      </w:r>
      <w:r>
        <w:t xml:space="preserve">. A model with no workflow might run clippy as a general best practice but ignore the output. The current evaluator scores these identically.</w:t>
      </w:r>
    </w:p>
    <w:p>
      <w:pPr>
        <w:spacing w:after="160"/>
      </w:pPr>
      <w:r>
        <w:t xml:space="preserve">The trace data structure (from trace.py) does capture tool results and exit codes. But the evaluator never inspects them. The evaluation pipeline extracts only event indices (the ordinal position of tool calls in the trace) and tool names. All scoring is performed on these indices using sequence operators like strictly_precedes, exists_before, exists_after, and exists_between.</w:t>
      </w:r>
    </w:p>
    <w:p>
      <w:pPr>
        <w:pStyle w:val="Heading2"/>
      </w:pPr>
      <w:r>
        <w:t xml:space="preserve">3.2 Nearly Half the Rubric Is Missing</w:t>
      </w:r>
    </w:p>
    <w:p>
      <w:pPr>
        <w:spacing w:after="160"/>
      </w:pPr>
      <w:r>
        <w:t xml:space="preserve">Of the 32 checks defined in the bivvy test configuration, approximately 15 are systematically skipped because they reference metrics or operators that have not been implemented. The evaluator catches these as MetricNotResolvable or UnknownOperator exceptions and marks them as skipped, which excludes them from the pass rate denominator entirely.</w:t>
      </w:r>
    </w:p>
    <w:p>
      <w:pPr>
        <w:spacing w:after="160"/>
      </w:pPr>
      <w:r>
        <w:t xml:space="preserve">The skipped checks are not random. They are the most discriminating checks in the rubric, the ones most likely to differentiate between genuine workflow adherence and superficial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Skipped Check</w:t>
            </w:r>
          </w:p>
        </w:tc>
        <w:tc>
          <w:tcPr>
            <w:tcW w:type="dxa" w:w="536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It Matters</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never_modify_tests_to_pass</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Detects whether the model cheated by weakening tests instead of fixing code</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coverage_threshold (&gt;= 90%)</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Verifies actual test coverage, not just that a coverage tool ran</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commit_msg_imperative_mood</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whether commit messages follow prescribed style</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commit_msg_subject_length (&lt;= 50)</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whether commit messages respect length constraints</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commit_msg_capitalize_no_period</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commit message formatting conventions</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commit_msg_no_type_prefix</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that conventional-commit prefixes are avoided per the workflow</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commit_msg_body_format</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blank-line separation and 72-char wrapping</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lint_fail_routes_to_implementation</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workflow routing: lint failure should loop back to implementation</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test_fail_routes_to_implementation</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workflow routing: test failure should loop back to implementation</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build_fail_routes_to_linting</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workflow routing: build failure should loop back to linting</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post_commit_loops_to_specification</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full-cycle workflow routing after commit</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doc_placement_developer / doc_placement_user</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Tests whether documentation is placed in correct directories</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no_full_project_structure_upfront</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Detects bulk scaffolding instead of incremental development</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no_deprecated_apis</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Checks for use of deprecated dependencies</w:t>
            </w:r>
          </w:p>
        </w:tc>
      </w:tr>
    </w:tbl>
    <w:p>
      <w:pPr>
        <w:spacing w:after="100"/>
      </w:pPr>
    </w:p>
    <w:p>
      <w:pPr>
        <w:spacing w:after="160"/>
      </w:pPr>
      <w:r>
        <w:t xml:space="preserve">The commit message checks are particularly significant. Commit message formatting is a </w:t>
      </w:r>
      <w:r>
        <w:rPr>
          <w:b/>
          <w:bCs/>
        </w:rPr>
        <w:t xml:space="preserve">pure workflow-adherence signal</w:t>
      </w:r>
      <w:r>
        <w:t xml:space="preserve">. A model with detailed commit guidelines will format messages differently than one without. But none of these checks are evaluated. Similarly, the failure-routing checks (lint_fail_routes_to_implementation, etc.) test the most sophisticated aspect of the workflow: what happens when a step fails. These are entirely absent from scoring.</w:t>
      </w:r>
    </w:p>
    <w:p>
      <w:pPr>
        <w:spacing w:after="160"/>
      </w:pPr>
      <w:r>
        <w:t xml:space="preserve">When the evaluator skips a check, it is excluded from both the numerator and denominator of the pass rate. This means the reported pass rate is computed over a subset of checks biased toward lower-signal, easier-to-pass items. The resulting metric is a measurement of basic tool usage patterns, not workflow adherence.</w:t>
      </w:r>
    </w:p>
    <w:p>
      <w:r>
        <w:br w:type="page"/>
      </w:r>
    </w:p>
    <w:p>
      <w:pPr>
        <w:pStyle w:val="Heading2"/>
      </w:pPr>
      <w:r>
        <w:t xml:space="preserve">3.3 The tdd_prove_tests_fail Anomaly</w:t>
      </w:r>
    </w:p>
    <w:p>
      <w:pPr>
        <w:spacing w:after="160"/>
      </w:pPr>
      <w:r>
        <w:t xml:space="preserve">The check tdd_prove_tests_fail has a </w:t>
      </w:r>
      <w:r>
        <w:rPr>
          <w:b/>
          <w:bCs/>
        </w:rPr>
        <w:t xml:space="preserve">0% pass rate across all 14 runs in all 5 format conditions</w:t>
      </w:r>
      <w:r>
        <w:t xml:space="preserve">. This is the single most important TDD discipline check: did the model run tests after writing them but before implementing the fix, to prove the tests actually detect the defect?</w:t>
      </w:r>
    </w:p>
    <w:p>
      <w:pPr>
        <w:spacing w:after="160"/>
      </w:pPr>
      <w:r>
        <w:t xml:space="preserve">A universal 0% across all conditions, including formats that explicitly instruct TDD prove-fail behavior, strongly suggests a bug in the evaluator rather than a genuine finding. The check uses the exists_between operator, which requires finding a cargo test invocation strictly between test-file writes and src/-file writes. Detail messages from the raw output show index alignment issues (e.g., getting a list of 20 items with identical start/end boundaries), suggesting the phase boundary detection is not correctly delineating the TDD specification and implementation phases.</w:t>
      </w:r>
    </w:p>
    <w:p>
      <w:pPr>
        <w:spacing w:after="160"/>
      </w:pPr>
      <w:r>
        <w:t xml:space="preserve">If this check were functioning correctly, it would be one of the highest-signal checks for format differentiation: structured workflows explicitly mandate the prove-fail step, while unguided models would almost never do it spontaneously.</w:t>
      </w:r>
    </w:p>
    <w:p>
      <w:pPr>
        <w:pStyle w:val="Heading2"/>
      </w:pPr>
      <w:r>
        <w:t xml:space="preserve">3.4 Vacuous Truth Inflates Pass Rates</w:t>
      </w:r>
    </w:p>
    <w:p>
      <w:pPr>
        <w:spacing w:after="160"/>
      </w:pPr>
      <w:r>
        <w:t xml:space="preserve">Many of the sequence operators in operators.py return True when one or both input lists are empty. This is mathematically correct (vacuous truth), but it systematically inflates pass rates for cases where the model simply did not perform certain actions:</w:t>
      </w:r>
    </w:p>
    <w:p>
      <w:pPr>
        <w:pStyle w:val="ListParagraph"/>
        <w:numPr>
          <w:ilvl w:val="0"/>
          <w:numId w:val="2"/>
        </w:numPr>
        <w:spacing w:after="80"/>
      </w:pPr>
      <w:r>
        <w:rPr>
          <w:b/>
          <w:bCs/>
        </w:rPr>
        <w:t xml:space="preserve">strictly_precedes(A, B)</w:t>
      </w:r>
      <w:r>
        <w:t xml:space="preserve">: Returns True if A or B is empty. If the model never runs cargo doc (empty A), the check doc_before_linting automatically passes.</w:t>
      </w:r>
    </w:p>
    <w:p>
      <w:pPr>
        <w:pStyle w:val="ListParagraph"/>
        <w:numPr>
          <w:ilvl w:val="0"/>
          <w:numId w:val="2"/>
        </w:numPr>
        <w:spacing w:after="80"/>
      </w:pPr>
      <w:r>
        <w:rPr>
          <w:b/>
          <w:bCs/>
        </w:rPr>
        <w:t xml:space="preserve">exists_after(A, B)</w:t>
      </w:r>
      <w:r>
        <w:t xml:space="preserve">: Returns True if B is empty. If the model never commits (empty B), the check test_after_commit passes because there is no commit to test after.</w:t>
      </w:r>
    </w:p>
    <w:p>
      <w:pPr>
        <w:pStyle w:val="ListParagraph"/>
        <w:numPr>
          <w:ilvl w:val="0"/>
          <w:numId w:val="2"/>
        </w:numPr>
        <w:spacing w:after="80"/>
      </w:pPr>
      <w:r>
        <w:rPr>
          <w:b/>
          <w:bCs/>
        </w:rPr>
        <w:t xml:space="preserve">op_only_via(A, B)</w:t>
      </w:r>
      <w:r>
        <w:t xml:space="preserve">: Returns True if A is empty. If the model never writes files, the delegation check passes vacuously.</w:t>
      </w:r>
    </w:p>
    <w:p>
      <w:pPr>
        <w:pStyle w:val="ListParagraph"/>
        <w:numPr>
          <w:ilvl w:val="0"/>
          <w:numId w:val="2"/>
        </w:numPr>
        <w:spacing w:after="80"/>
      </w:pPr>
      <w:r>
        <w:rPr>
          <w:b/>
          <w:bCs/>
        </w:rPr>
        <w:t xml:space="preserve">each_preceded_by_within_N_steps(A, B)</w:t>
      </w:r>
      <w:r>
        <w:t xml:space="preserve">: Returns True if A is empty.</w:t>
      </w:r>
    </w:p>
    <w:p>
      <w:pPr>
        <w:spacing w:after="160"/>
      </w:pPr>
      <w:r>
        <w:t xml:space="preserve">This creates a perverse incentive in the scoring: a model that does less can score higher on ordering checks than a model that does more but in the wrong order. More importantly, it means the no-workflow condition (where the model might skip documentation or coverage steps entirely) gets free passes on the ordering checks that those steps participate in.</w:t>
      </w:r>
    </w:p>
    <w:p>
      <w:pPr>
        <w:pStyle w:val="Heading2"/>
      </w:pPr>
      <w:r>
        <w:t xml:space="preserve">3.5 The Baseline Is Contaminated</w:t>
      </w:r>
    </w:p>
    <w:p>
      <w:pPr>
        <w:spacing w:after="160"/>
      </w:pPr>
      <w:r>
        <w:t xml:space="preserve">The no-workflow condition is intended as a control: what happens when no workflow guidance is provided. But the prompts themselves contain embedded verification cues that partially replicate workflow behavior:</w:t>
      </w:r>
    </w:p>
    <w:p>
      <w:pPr>
        <w:pStyle w:val="ListParagraph"/>
        <w:numPr>
          <w:ilvl w:val="0"/>
          <w:numId w:val="2"/>
        </w:numPr>
        <w:spacing w:after="80"/>
      </w:pPr>
      <w:r>
        <w:t xml:space="preserve">The bug prompt template includes an </w:t>
      </w:r>
      <w:r>
        <w:rPr>
          <w:b/>
          <w:bCs/>
        </w:rPr>
        <w:t xml:space="preserve">optional_modifier</w:t>
      </w:r>
      <w:r>
        <w:t xml:space="preserve"> field. Two of three bug items carry modifiers like "Make sure to run cargo test to verify" and "Make sure to run cargo clippy before declaring your work complete." These are explicit workflow instructions embedded in the task prompt, present in all format conditions including no-workflow.</w:t>
      </w:r>
    </w:p>
    <w:p>
      <w:pPr>
        <w:pStyle w:val="ListParagraph"/>
        <w:numPr>
          <w:ilvl w:val="0"/>
          <w:numId w:val="2"/>
        </w:numPr>
        <w:spacing w:after="80"/>
      </w:pPr>
      <w:r>
        <w:t xml:space="preserve">The prompt template sets conditions (</w:t>
      </w:r>
      <w:r>
        <w:rPr>
          <w:b/>
          <w:bCs/>
        </w:rPr>
        <w:t xml:space="preserve">explicit_edit_requested: true</w:t>
      </w:r>
      <w:r>
        <w:t xml:space="preserve">, </w:t>
      </w:r>
      <w:r>
        <w:rPr>
          <w:b/>
          <w:bCs/>
        </w:rPr>
        <w:t xml:space="preserve">involves_codebase_search: true</w:t>
      </w:r>
      <w:r>
        <w:t xml:space="preserve">) that gate which checks are evaluated. Because all prompts share the same conditions, the check activation is identical across formats. The workflow format cannot modulate which checks apply.</w:t>
      </w:r>
    </w:p>
    <w:p>
      <w:pPr>
        <w:pStyle w:val="ListParagraph"/>
        <w:numPr>
          <w:ilvl w:val="0"/>
          <w:numId w:val="2"/>
        </w:numPr>
        <w:spacing w:after="80"/>
      </w:pPr>
      <w:r>
        <w:t xml:space="preserve">Claude Code itself has built-in behaviors (reading CLAUDE.md files, following general software development best practices) that provide a non-trivial baseline of structured behavior even without an explicit workflow document.</w:t>
      </w:r>
    </w:p>
    <w:p>
      <w:pPr>
        <w:spacing w:after="160"/>
      </w:pPr>
      <w:r>
        <w:t xml:space="preserve">The result is that the no-workflow condition is not a true control. It is a condition where the model receives partial workflow cues (from prompt modifiers), has innate development patterns (from training), and benefits from vacuous-truth inflation on checks it skips. The measured gap between this and structured workflow formats is artificially compressed.</w:t>
      </w:r>
    </w:p>
    <w:p>
      <w:r>
        <w:br w:type="page"/>
      </w:r>
    </w:p>
    <w:p>
      <w:pPr>
        <w:pStyle w:val="Heading2"/>
      </w:pPr>
      <w:r>
        <w:t xml:space="preserve">3.6 Insufficient Statistical Power</w:t>
      </w:r>
    </w:p>
    <w:p>
      <w:pPr>
        <w:spacing w:after="160"/>
      </w:pPr>
      <w:r>
        <w:t xml:space="preserve">The dataset contains approximately 14 runs: 3-4 per format for the bug-fix category. With sample sizes this small and the observed variance in pass rates (standard deviations of 15-20 percentage points within conditions), the benchmark lacks statistical power to detect even large effects:</w:t>
      </w:r>
    </w:p>
    <w:p>
      <w:pPr>
        <w:pStyle w:val="ListParagraph"/>
        <w:numPr>
          <w:ilvl w:val="0"/>
          <w:numId w:val="2"/>
        </w:numPr>
        <w:spacing w:after="80"/>
      </w:pPr>
      <w:r>
        <w:t xml:space="preserve">With n=3-4, detecting a 20% difference in pass rate at p&lt;0.05 requires Cohen's d &gt; 1.5, corresponding to an effect size that would be extraordinary in behavioral research.</w:t>
      </w:r>
    </w:p>
    <w:p>
      <w:pPr>
        <w:pStyle w:val="ListParagraph"/>
        <w:numPr>
          <w:ilvl w:val="0"/>
          <w:numId w:val="2"/>
        </w:numPr>
        <w:spacing w:after="80"/>
      </w:pPr>
      <w:r>
        <w:t xml:space="preserve">No statistical tests (t-tests, ANOVA, bootstrap CIs) are reported on the raw data.</w:t>
      </w:r>
    </w:p>
    <w:p>
      <w:pPr>
        <w:pStyle w:val="ListParagraph"/>
        <w:numPr>
          <w:ilvl w:val="0"/>
          <w:numId w:val="2"/>
        </w:numPr>
        <w:spacing w:after="80"/>
      </w:pPr>
      <w:r>
        <w:t xml:space="preserve">The 32-check evaluation creates a multiple comparison problem: testing 32 checks across 5 formats yields 160 comparisons, requiring Bonferroni or Holm-Bonferroni correction. No correction is applied.</w:t>
      </w:r>
    </w:p>
    <w:p>
      <w:pPr>
        <w:pStyle w:val="ListParagraph"/>
        <w:numPr>
          <w:ilvl w:val="0"/>
          <w:numId w:val="2"/>
        </w:numPr>
        <w:spacing w:after="80"/>
      </w:pPr>
      <w:r>
        <w:t xml:space="preserve">The report generation pipeline (generate_report.py) does include infrastructure for paired t-tests, effect sizes, and Holm-Bonferroni correction, but these have not been applied to the current results.</w:t>
      </w:r>
    </w:p>
    <w:p>
      <w:pPr>
        <w:spacing w:after="160"/>
      </w:pPr>
      <w:r>
        <w:t xml:space="preserve">To put this concretely: the observed overall pass rates (45-54% across formats) with n=3-4 runs are consistent with any true effect between 0% and 30%. The data simply cannot distinguish signal from noise at this sample size.</w:t>
      </w:r>
    </w:p>
    <w:p>
      <w:pPr>
        <w:pStyle w:val="Heading1"/>
      </w:pPr>
      <w:r>
        <w:t xml:space="preserve">4. What the Raw Data Actually Shows</w:t>
      </w:r>
    </w:p>
    <w:p>
      <w:pPr>
        <w:spacing w:after="160"/>
      </w:pPr>
      <w:r>
        <w:t xml:space="preserve">Despite the methodological issues, the raw data does contain interesting patterns, though they must be interpreted with extreme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Format</w:t>
            </w:r>
          </w:p>
        </w:tc>
        <w:tc>
          <w:tcPr>
            <w:tcW w:type="dxa" w:w="234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Overall Pass Rate</w:t>
            </w:r>
          </w:p>
        </w:tc>
        <w:tc>
          <w:tcPr>
            <w:tcW w:type="dxa" w:w="234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Bug-Fix Pass Rate</w:t>
            </w:r>
          </w:p>
        </w:tc>
        <w:tc>
          <w:tcPr>
            <w:tcW w:type="dxa" w:w="2340"/>
            <w:tcBorders>
              <w:top w:val="single" w:color="D5D8DC" w:sz="1"/>
              <w:left w:val="single" w:color="D5D8DC" w:sz="1"/>
              <w:bottom w:val="single" w:color="D5D8DC" w:sz="1"/>
              <w:right w:val="single" w:color="D5D8D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Runs</w:t>
            </w:r>
          </w:p>
        </w:tc>
      </w:tr>
      <w:tr>
        <w:trPr>
          <w:tblHeader w:val="false"/>
        </w:trPr>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plain-text</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53.8%</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~54%</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3</w:t>
            </w:r>
          </w:p>
        </w:tc>
      </w:tr>
      <w:tr>
        <w:trPr>
          <w:tblHeader w:val="false"/>
        </w:trP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markdown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50.5%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w:t>
            </w:r>
          </w:p>
        </w:tc>
      </w:tr>
      <w:tr>
        <w:trPr>
          <w:tblHeader w:val="false"/>
        </w:trPr>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adhoc-xml</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48.9%</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~49%</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w:t>
            </w:r>
          </w:p>
        </w:tc>
      </w:tr>
      <w:tr>
        <w:trPr>
          <w:tblHeader w:val="false"/>
        </w:trP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no-workflow</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45.6%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3</w:t>
            </w:r>
          </w:p>
        </w:tc>
      </w:tr>
      <w:tr>
        <w:trPr>
          <w:tblHeader w:val="false"/>
        </w:trPr>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ape</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45.3%</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~45%</w:t>
            </w:r>
          </w:p>
        </w:tc>
        <w:tc>
          <w:tcPr>
            <w:tcW w:type="dxa" w:w="2340"/>
            <w:tcBorders>
              <w:top w:val="single" w:color="D5D8DC" w:sz="1"/>
              <w:left w:val="single" w:color="D5D8DC" w:sz="1"/>
              <w:bottom w:val="single" w:color="D5D8DC" w:sz="1"/>
              <w:right w:val="single" w:color="D5D8DC" w:sz="1"/>
            </w:tcBorders>
            <w:shd w:fill="F4F6F8" w:val="clear"/>
            <w:tcMar>
              <w:top w:type="dxa" w:w="60"/>
              <w:left w:type="dxa" w:w="100"/>
              <w:bottom w:type="dxa" w:w="60"/>
              <w:right w:type="dxa" w:w="100"/>
            </w:tcMar>
          </w:tcPr>
          <w:p>
            <w:pPr>
              <w:spacing w:after="0"/>
            </w:pPr>
            <w:r>
              <w:rPr>
                <w:rFonts w:ascii="Arial" w:cs="Arial" w:eastAsia="Arial" w:hAnsi="Arial"/>
                <w:b w:val="false"/>
                <w:bCs w:val="false"/>
                <w:sz w:val="20"/>
                <w:szCs w:val="20"/>
              </w:rPr>
              <w:t xml:space="preserve">4</w:t>
            </w:r>
          </w:p>
        </w:tc>
      </w:tr>
    </w:tbl>
    <w:p>
      <w:pPr>
        <w:spacing w:after="100"/>
      </w:pPr>
    </w:p>
    <w:p>
      <w:pPr>
        <w:pStyle w:val="Heading2"/>
      </w:pPr>
      <w:r>
        <w:t xml:space="preserve">4.1 Notable Patterns</w:t>
      </w:r>
    </w:p>
    <w:p>
      <w:pPr>
        <w:pStyle w:val="ListParagraph"/>
        <w:numPr>
          <w:ilvl w:val="0"/>
          <w:numId w:val="2"/>
        </w:numPr>
        <w:spacing w:after="80"/>
      </w:pPr>
      <w:r>
        <w:rPr>
          <w:b/>
          <w:bCs/>
        </w:rPr>
        <w:t xml:space="preserve">Universally failed checks: </w:t>
      </w:r>
      <w:r>
        <w:t xml:space="preserve">tdd_prove_tests_fail (0% all formats) and phase_ordering (~25% most formats) fail across the board, suggesting evaluator bugs rather than model behavior.</w:t>
      </w:r>
    </w:p>
    <w:p>
      <w:pPr>
        <w:pStyle w:val="ListParagraph"/>
        <w:numPr>
          <w:ilvl w:val="0"/>
          <w:numId w:val="2"/>
        </w:numPr>
        <w:spacing w:after="80"/>
      </w:pPr>
      <w:r>
        <w:rPr>
          <w:b/>
          <w:bCs/>
        </w:rPr>
        <w:t xml:space="preserve">Universally passed checks: </w:t>
      </w:r>
      <w:r>
        <w:t xml:space="preserve">max_impl_test_cycles, no_git_add_dot, and verify_tests_after_changes pass at near-100% across all formats, including no-workflow. These are low-signal checks that reflect general LLM behavior, not workflow-specific adherence.</w:t>
      </w:r>
    </w:p>
    <w:p>
      <w:pPr>
        <w:pStyle w:val="ListParagraph"/>
        <w:numPr>
          <w:ilvl w:val="0"/>
          <w:numId w:val="2"/>
        </w:numPr>
        <w:spacing w:after="80"/>
      </w:pPr>
      <w:r>
        <w:rPr>
          <w:b/>
          <w:bCs/>
        </w:rPr>
        <w:t xml:space="preserve">High-variance checks: </w:t>
      </w:r>
      <w:r>
        <w:t xml:space="preserve">lint_before_testing (25-100%), run_coverage (0-67%), and build_dev (0-100%) show enormous variance within conditions, suggesting that with n=3-4, random fluctuation dominates any format effect.</w:t>
      </w:r>
    </w:p>
    <w:p>
      <w:pPr>
        <w:pStyle w:val="ListParagraph"/>
        <w:numPr>
          <w:ilvl w:val="0"/>
          <w:numId w:val="2"/>
        </w:numPr>
        <w:spacing w:after="80"/>
      </w:pPr>
      <w:r>
        <w:rPr>
          <w:b/>
          <w:bCs/>
        </w:rPr>
        <w:t xml:space="preserve">Paradoxical no-workflow performance on phase_ordering: </w:t>
      </w:r>
      <w:r>
        <w:t xml:space="preserve">no-workflow achieves 67% on phase_ordering while structured formats average 25%. This likely reflects vacuous-truth inflation: fewer phases attempted means fewer ordering constraints to violate.</w:t>
      </w:r>
    </w:p>
    <w:p>
      <w:r>
        <w:br w:type="page"/>
      </w:r>
    </w:p>
    <w:p>
      <w:pPr>
        <w:pStyle w:val="Heading1"/>
      </w:pPr>
      <w:r>
        <w:t xml:space="preserve">5. Why This Does NOT Mean Workflows Are Useless</w:t>
      </w:r>
    </w:p>
    <w:p>
      <w:pPr>
        <w:spacing w:after="160"/>
      </w:pPr>
      <w:r>
        <w:t xml:space="preserve">It is critical to separate two distinct claims:</w:t>
      </w:r>
    </w:p>
    <w:p>
      <w:pPr>
        <w:pStyle w:val="ListParagraph"/>
        <w:numPr>
          <w:ilvl w:val="0"/>
          <w:numId w:val="4"/>
        </w:numPr>
        <w:spacing w:after="80"/>
      </w:pPr>
      <w:r>
        <w:rPr>
          <w:b/>
          <w:bCs/>
        </w:rPr>
        <w:t xml:space="preserve">Claim A</w:t>
      </w:r>
      <w:r>
        <w:t xml:space="preserve"> (what the data might seem to show): Providing a CLAUDE.md workflow document has no effect on LLM behavior, so practitioners should not bother.</w:t>
      </w:r>
    </w:p>
    <w:p>
      <w:pPr>
        <w:pStyle w:val="ListParagraph"/>
        <w:numPr>
          <w:ilvl w:val="0"/>
          <w:numId w:val="4"/>
        </w:numPr>
        <w:spacing w:after="80"/>
      </w:pPr>
      <w:r>
        <w:rPr>
          <w:b/>
          <w:bCs/>
        </w:rPr>
        <w:t xml:space="preserve">Claim B</w:t>
      </w:r>
      <w:r>
        <w:t xml:space="preserve"> (what the data actually shows): This benchmark cannot measure the effect of workflow format on adherence because the evaluation instrument lacks the resolution to detect format-specific behavioral differences.</w:t>
      </w:r>
    </w:p>
    <w:p>
      <w:pPr>
        <w:spacing w:after="160"/>
      </w:pPr>
      <w:r>
        <w:t xml:space="preserve">Claim B is the correct interpretation. The analogy is attempting to measure the weight difference between two objects using a bathroom scale that only reads in 50-pound increments. A null reading does not mean the objects weigh the same; it means the instrument is too coarse.</w:t>
      </w:r>
    </w:p>
    <w:p>
      <w:pPr>
        <w:spacing w:after="160"/>
      </w:pPr>
      <w:r>
        <w:t xml:space="preserve">There are strong prior reasons to believe workflow documents do affect LLM behavior:</w:t>
      </w:r>
    </w:p>
    <w:p>
      <w:pPr>
        <w:pStyle w:val="ListParagraph"/>
        <w:numPr>
          <w:ilvl w:val="0"/>
          <w:numId w:val="2"/>
        </w:numPr>
        <w:spacing w:after="80"/>
      </w:pPr>
      <w:r>
        <w:t xml:space="preserve">LLMs demonstrably follow system prompts and instructions. A workflow document is an instruction. The question is not whether it has any effect, but how much effect and on what dimensions.</w:t>
      </w:r>
    </w:p>
    <w:p>
      <w:pPr>
        <w:pStyle w:val="ListParagraph"/>
        <w:numPr>
          <w:ilvl w:val="0"/>
          <w:numId w:val="2"/>
        </w:numPr>
        <w:spacing w:after="80"/>
      </w:pPr>
      <w:r>
        <w:t xml:space="preserve">The dimensions where workflow effects would be strongest (commit message formatting, failure routing, coverage thresholds, test-modification detection) are precisely the dimensions this benchmark does not measure.</w:t>
      </w:r>
    </w:p>
    <w:p>
      <w:pPr>
        <w:pStyle w:val="ListParagraph"/>
        <w:numPr>
          <w:ilvl w:val="0"/>
          <w:numId w:val="2"/>
        </w:numPr>
        <w:spacing w:after="80"/>
      </w:pPr>
      <w:r>
        <w:t xml:space="preserve">Even within the current coarse measurements, there are directional trends: structured formats (markdown, adhoc-xml) trend slightly higher than no-workflow, and plain-text (which is prepended to the prompt, giving it maximum salience) shows the highest rates.</w:t>
      </w:r>
    </w:p>
    <w:p>
      <w:pPr>
        <w:pStyle w:val="Heading1"/>
      </w:pPr>
      <w:r>
        <w:t xml:space="preserve">6. Recommendations</w:t>
      </w:r>
    </w:p>
    <w:p>
      <w:pPr>
        <w:pStyle w:val="Heading2"/>
      </w:pPr>
      <w:r>
        <w:t xml:space="preserve">6.1 Immediate Fixes (Required Before Drawing Any Conclusions)</w:t>
      </w:r>
    </w:p>
    <w:p>
      <w:pPr>
        <w:pStyle w:val="ListParagraph"/>
        <w:numPr>
          <w:ilvl w:val="0"/>
          <w:numId w:val="5"/>
        </w:numPr>
        <w:spacing w:after="80"/>
      </w:pPr>
      <w:r>
        <w:rPr>
          <w:b/>
          <w:bCs/>
        </w:rPr>
        <w:t xml:space="preserve">Implement outcome-aware evaluation. </w:t>
      </w:r>
      <w:r>
        <w:t xml:space="preserve">The evaluator must inspect tool results, not just tool invocations. For Bash commands, check exit codes. For cargo test, parse output for pass/fail counts. For cargo clippy, check for warnings. The trace data already contains this information; the evaluator simply does not use it.</w:t>
      </w:r>
    </w:p>
    <w:p>
      <w:pPr>
        <w:pStyle w:val="ListParagraph"/>
        <w:numPr>
          <w:ilvl w:val="0"/>
          <w:numId w:val="5"/>
        </w:numPr>
        <w:spacing w:after="80"/>
      </w:pPr>
      <w:r>
        <w:rPr>
          <w:b/>
          <w:bCs/>
        </w:rPr>
        <w:t xml:space="preserve">Implement the skipped metrics. </w:t>
      </w:r>
      <w:r>
        <w:t xml:space="preserve">The 15 skipped checks include the highest-signal items in the rubric. Commit message checks (imperative mood, length, format) are pure workflow signals. Failure-routing checks test the most complex aspect of adherence. Coverage thresholds test actual verification behavior. Without these, the benchmark is evaluating with half its rubric missing.</w:t>
      </w:r>
    </w:p>
    <w:p>
      <w:pPr>
        <w:pStyle w:val="ListParagraph"/>
        <w:numPr>
          <w:ilvl w:val="0"/>
          <w:numId w:val="5"/>
        </w:numPr>
        <w:spacing w:after="80"/>
      </w:pPr>
      <w:r>
        <w:rPr>
          <w:b/>
          <w:bCs/>
        </w:rPr>
        <w:t xml:space="preserve">Fix the tdd_prove_tests_fail check. </w:t>
      </w:r>
      <w:r>
        <w:t xml:space="preserve">A 0% pass rate across all conditions on a core TDD check is almost certainly a boundary-detection bug. Investigate the exists_between operator's interaction with phase detection for overlapping test/implementation events.</w:t>
      </w:r>
    </w:p>
    <w:p>
      <w:pPr>
        <w:pStyle w:val="ListParagraph"/>
        <w:numPr>
          <w:ilvl w:val="0"/>
          <w:numId w:val="5"/>
        </w:numPr>
        <w:spacing w:after="80"/>
      </w:pPr>
      <w:r>
        <w:rPr>
          <w:b/>
          <w:bCs/>
        </w:rPr>
        <w:t xml:space="preserve">Address vacuous truth inflation. </w:t>
      </w:r>
      <w:r>
        <w:t xml:space="preserve">When a sequence check passes because one input list is empty, this should be reported differently than a genuine pass. Options include: marking vacuous passes as a distinct result state (neither pass nor skip), requiring minimum event counts for sequence checks, or scoring vacuous results as 0.5 instead of 1.0.</w:t>
      </w:r>
    </w:p>
    <w:p>
      <w:pPr>
        <w:pStyle w:val="Heading2"/>
      </w:pPr>
      <w:r>
        <w:t xml:space="preserve">6.2 Design Improvements (For Valid Format Comparison)</w:t>
      </w:r>
    </w:p>
    <w:p>
      <w:pPr>
        <w:pStyle w:val="ListParagraph"/>
        <w:numPr>
          <w:ilvl w:val="0"/>
          <w:numId w:val="6"/>
        </w:numPr>
        <w:spacing w:after="80"/>
      </w:pPr>
      <w:r>
        <w:rPr>
          <w:b/>
          <w:bCs/>
        </w:rPr>
        <w:t xml:space="preserve">Increase sample size to n &gt;= 15 per condition. </w:t>
      </w:r>
      <w:r>
        <w:t xml:space="preserve">With observed variance, detecting a meaningful effect (d=0.5) at 80% power requires approximately 15 runs per condition. This means 75 total runs (5 formats times 15 runs) per task category.</w:t>
      </w:r>
    </w:p>
    <w:p>
      <w:pPr>
        <w:pStyle w:val="ListParagraph"/>
        <w:numPr>
          <w:ilvl w:val="0"/>
          <w:numId w:val="6"/>
        </w:numPr>
        <w:spacing w:after="80"/>
      </w:pPr>
      <w:r>
        <w:rPr>
          <w:b/>
          <w:bCs/>
        </w:rPr>
        <w:t xml:space="preserve">Remove prompt-embedded verification cues. </w:t>
      </w:r>
      <w:r>
        <w:t xml:space="preserve">The optional_modifier fields in bug items contaminate the baseline. For a clean comparison, the prompt should contain ONLY the task description with no verification hints. If you want to test modifier effects, that should be a separate experimental factor.</w:t>
      </w:r>
    </w:p>
    <w:p>
      <w:pPr>
        <w:pStyle w:val="ListParagraph"/>
        <w:numPr>
          <w:ilvl w:val="0"/>
          <w:numId w:val="6"/>
        </w:numPr>
        <w:spacing w:after="80"/>
      </w:pPr>
      <w:r>
        <w:rPr>
          <w:b/>
          <w:bCs/>
        </w:rPr>
        <w:t xml:space="preserve">Add qualitative evaluation. </w:t>
      </w:r>
      <w:r>
        <w:t xml:space="preserve">Complement automated checks with LLM-as-judge evaluation of key outputs: Did the commit message actually describe the change? Did the implementation actually fix the bug? Was the test coverage meaningful? Automated trace analysis is necessary but not sufficient.</w:t>
      </w:r>
    </w:p>
    <w:p>
      <w:pPr>
        <w:pStyle w:val="ListParagraph"/>
        <w:numPr>
          <w:ilvl w:val="0"/>
          <w:numId w:val="6"/>
        </w:numPr>
        <w:spacing w:after="80"/>
      </w:pPr>
      <w:r>
        <w:rPr>
          <w:b/>
          <w:bCs/>
        </w:rPr>
        <w:t xml:space="preserve">Separate tool-usage checks from adherence checks. </w:t>
      </w:r>
      <w:r>
        <w:t xml:space="preserve">Some checks (like no_git_add_dot and max_impl_test_cycles) reflect general LLM behavior regardless of workflow. These should be reported separately from workflow-specific checks (like phase_ordering, lint_before_testing, tdd_prove_tests_fail) to avoid diluting the signal.</w:t>
      </w:r>
    </w:p>
    <w:p>
      <w:pPr>
        <w:pStyle w:val="ListParagraph"/>
        <w:numPr>
          <w:ilvl w:val="0"/>
          <w:numId w:val="6"/>
        </w:numPr>
        <w:spacing w:after="80"/>
      </w:pPr>
      <w:r>
        <w:rPr>
          <w:b/>
          <w:bCs/>
        </w:rPr>
        <w:t xml:space="preserve">Apply statistical corrections. </w:t>
      </w:r>
      <w:r>
        <w:t xml:space="preserve">Use the existing bootstrap and effect-size infrastructure in the stats module. Report confidence intervals. Apply Holm-Bonferroni correction for multiple comparisons. Report effect sizes (Cohen's d) alongside p-values.</w:t>
      </w:r>
    </w:p>
    <w:p>
      <w:pPr>
        <w:pStyle w:val="Heading2"/>
      </w:pPr>
      <w:r>
        <w:t xml:space="preserve">6.3 Longer-Term Enhancements</w:t>
      </w:r>
    </w:p>
    <w:p>
      <w:pPr>
        <w:pStyle w:val="ListParagraph"/>
        <w:numPr>
          <w:ilvl w:val="0"/>
          <w:numId w:val="7"/>
        </w:numPr>
        <w:spacing w:after="80"/>
      </w:pPr>
      <w:r>
        <w:rPr>
          <w:b/>
          <w:bCs/>
        </w:rPr>
        <w:t xml:space="preserve">Test multiple projects. </w:t>
      </w:r>
      <w:r>
        <w:t xml:space="preserve">The current benchmark uses a single Rust project. Workflow format effects may vary by language, project complexity, or task type. A multi-project benchmark would improve external validity.</w:t>
      </w:r>
    </w:p>
    <w:p>
      <w:pPr>
        <w:pStyle w:val="ListParagraph"/>
        <w:numPr>
          <w:ilvl w:val="0"/>
          <w:numId w:val="7"/>
        </w:numPr>
        <w:spacing w:after="80"/>
      </w:pPr>
      <w:r>
        <w:rPr>
          <w:b/>
          <w:bCs/>
        </w:rPr>
        <w:t xml:space="preserve">Add graduated scoring. </w:t>
      </w:r>
      <w:r>
        <w:t xml:space="preserve">Binary pass/fail obscures partial adherence. A model that runs tests in nearly the right order should score differently than one that runs them in completely random order. Consider continuous scoring based on edit distance from the ideal sequence.</w:t>
      </w:r>
    </w:p>
    <w:p>
      <w:pPr>
        <w:pStyle w:val="ListParagraph"/>
        <w:numPr>
          <w:ilvl w:val="0"/>
          <w:numId w:val="7"/>
        </w:numPr>
        <w:spacing w:after="80"/>
      </w:pPr>
      <w:r>
        <w:rPr>
          <w:b/>
          <w:bCs/>
        </w:rPr>
        <w:t xml:space="preserve">Track efficiency metrics. </w:t>
      </w:r>
      <w:r>
        <w:t xml:space="preserve">Two models might achieve the same pass rate, but one takes 5 iterations while the other takes 2. Token usage, tool call count, and iteration count are valuable secondary metrics that the runner already captures but the evaluator does not factor into adherence scoring.</w:t>
      </w:r>
    </w:p>
    <w:p>
      <w:r>
        <w:br w:type="page"/>
      </w:r>
    </w:p>
    <w:p>
      <w:pPr>
        <w:pStyle w:val="Heading1"/>
      </w:pPr>
      <w:r>
        <w:t xml:space="preserve">7. Conclusion</w:t>
      </w:r>
    </w:p>
    <w:p>
      <w:pPr>
        <w:spacing w:after="160"/>
      </w:pPr>
      <w:r>
        <w:t xml:space="preserve">The APE benchmarking suite is architecturally sound. The workspace isolation is thorough, the trace parsing is well-engineered, the operator library is mathematically correct, and the infrastructure for statistical analysis exists. The problems are not in the engineering but in the evaluation semantics: the instrument measures the wrong thing at insufficient resolution with an inadequate sample size.</w:t>
      </w:r>
    </w:p>
    <w:p>
      <w:pPr>
        <w:spacing w:after="160"/>
      </w:pPr>
      <w:r>
        <w:t xml:space="preserve">The current results should </w:t>
      </w:r>
      <w:r>
        <w:rPr>
          <w:b/>
          <w:bCs/>
        </w:rPr>
        <w:t xml:space="preserve">not</w:t>
      </w:r>
      <w:r>
        <w:t xml:space="preserve"> be interpreted as evidence that workflow documents or CLAUDE.md files have no effect. They should be interpreted as evidence that the benchmark, in its current state, cannot distinguish between formats. The difference is profound: one interpretation discourages a practice that may well be valuable; the other motivates improving the measurement instrument.</w:t>
      </w:r>
    </w:p>
    <w:p>
      <w:pPr>
        <w:spacing w:after="160"/>
      </w:pPr>
      <w:r>
        <w:t xml:space="preserve">The most productive path forward is to implement outcome-aware evaluation, complete the skipped metrics (especially commit message checks and failure routing), fix the tdd_prove_tests_fail boundary detection, and increase sample sizes. With these changes, the benchmark has the potential to provide genuinely informative data about whether and how workflow format affects LLM behavior. </w:t>
      </w:r>
      <w:r>
        <w:rPr>
          <w:b/>
          <w:bCs/>
        </w:rPr>
        <w:t xml:space="preserve">Until then, the null result is an artifact of measurement, not a finding about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i/>
        <w:iCs/>
        <w:color w:val="555555"/>
        <w:sz w:val="18"/>
        <w:szCs w:val="18"/>
      </w:rPr>
      <w:t xml:space="preserve">APE Benchmark Audit</w:t>
    </w:r>
    <w:r>
      <w:t xml:space="preserve">	</w:t>
    </w:r>
    <w:r>
      <w:rPr>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2026-03-13T19:50:55.325Z</dcterms:created>
  <dcterms:modified xsi:type="dcterms:W3CDTF">2026-03-13T19:50:55.325Z</dcterms:modified>
</cp:coreProperties>
</file>

<file path=docProps/custom.xml><?xml version="1.0" encoding="utf-8"?>
<Properties xmlns="http://schemas.openxmlformats.org/officeDocument/2006/custom-properties" xmlns:vt="http://schemas.openxmlformats.org/officeDocument/2006/docPropsVTypes"/>
</file>