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Demonstration of DOCX support in calibre </w:t>
            </w:r>
          </w:p>
        </w:tc>
      </w:tr>
      <w:tr>
        <w:tc>
          <w:tcPr>
            <w:tcW w:w="0" w:type="auto"/>
          </w:tcPr>
          <w:p>
            <w:r>
              <w:rPr>
                <w:rFonts w:ascii="Ubuntu" w:hAnsi="Ubuntu"/>
                <w:color w:val="000000"/>
                <w:sz w:val="24"/>
              </w:rPr>
              <w:t xml:space="preserve">calibre</w:t>
            </w:r>
          </w:p>
        </w:tc>
      </w:tr>
      <w:tr>
        <w:tc>
          <w:tcPr>
            <w:tcW w:w="0" w:type="auto"/>
          </w:tcPr>
          <w:p>
            <w:r>
              <w:t xml:space="preserve">There is support for images, tables, lists, footnotes, endnotes, links, dropcaps and various types of text and paragraph level formatting. </w:t>
            </w:r>
          </w:p>
        </w:tc>
      </w:tr>
      <w:tr>
        <w:tc>
          <w:tcPr>
            <w:tcW w:w="0" w:type="auto"/>
          </w:tcPr>
          <w:p>
            <w:r>
              <w:rPr>
                <w:rFonts w:ascii="Ubuntu" w:hAnsi="Ubuntu"/>
                <w:b/>
                <w:color w:val="000000"/>
                <w:sz w:val="24"/>
              </w:rPr>
              <w:t xml:space="preserve">“Add Books” </w:t>
            </w:r>
          </w:p>
          <w:p>
            <w:r>
              <w:rPr>
                <w:rFonts w:ascii="Ubuntu" w:hAnsi="Ubuntu"/>
                <w:b/>
                <w:color w:val="000000"/>
                <w:sz w:val="24"/>
              </w:rPr>
              <w:t xml:space="preserve">Convert”. </w:t>
            </w:r>
          </w:p>
          <w:p>
            <w:r>
              <w:rPr>
                <w:rFonts w:ascii="Ubuntu" w:hAnsi="Ubuntu"/>
                <w:b/>
                <w:color w:val="000000"/>
                <w:sz w:val="24"/>
              </w:rPr>
              <w:t xml:space="preserve">“OK”</w:t>
            </w:r>
          </w:p>
        </w:tc>
      </w:tr>
      <w:tr>
        <w:tc>
          <w:tcPr>
            <w:tcW w:w="0" w:type="auto"/>
          </w:tcPr>
          <w:p>
            <w:r>
              <w:t xml:space="preserve">One, with a very long line to demonstrate that the hanging indent for the list is working correctly </w:t>
            </w:r>
          </w:p>
        </w:tc>
      </w:tr>
      <w:tr>
        <w:tc>
          <w:tcPr>
            <w:tcW w:w="0" w:type="auto"/>
          </w:tcPr>
          <w:p>
            <w:r>
              <w:t xml:space="preserve">Two </w:t>
            </w:r>
          </w:p>
        </w:tc>
      </w:tr>
      <w:tr>
        <w:tc>
          <w:tcPr>
            <w:tcW w:w="0" w:type="auto"/>
          </w:tcPr>
          <w:p>
            <w:r>
              <w:t xml:space="preserve">One </w:t>
            </w:r>
          </w:p>
        </w:tc>
      </w:tr>
      <w:tr>
        <w:tc>
          <w:tcPr>
            <w:tcW w:w="0" w:type="auto"/>
          </w:tcPr>
          <w:p>
            <w:r>
              <w:t xml:space="preserve">Two </w:t>
            </w:r>
          </w:p>
        </w:tc>
      </w:tr>
      <w:tr>
        <w:tc>
          <w:tcPr>
            <w:tcW w:w="0" w:type="auto"/>
          </w:tcPr>
          <w:p>
            <w:r>
              <w:t xml:space="preserve">Three </w:t>
            </w:r>
          </w:p>
        </w:tc>
      </w:tr>
      <w:tr>
        <w:tc>
          <w:tcPr>
            <w:tcW w:w="0" w:type="auto"/>
          </w:tcPr>
          <w:p>
            <w:r>
              <w:t xml:space="preserve">Four with a very long line to demonstrate that the hanging indent for the list is working correctly. </w:t>
            </w:r>
          </w:p>
        </w:tc>
      </w:tr>
      <w:tr>
        <w:tc>
          <w:tcPr>
            <w:tcW w:w="0" w:type="auto"/>
          </w:tcPr>
          <w:p>
            <w:r>
              <w:t xml:space="preserve">Five </w:t>
            </w:r>
          </w:p>
        </w:tc>
      </w:tr>
      <w:tr>
        <w:tc>
          <w:tcPr>
            <w:tcW w:w="0" w:type="auto"/>
          </w:tcPr>
          <w:p>
            <w:r>
              <w:t xml:space="preserve">Six </w:t>
            </w:r>
          </w:p>
        </w:tc>
      </w:tr>
      <w:tr>
        <w:tc>
          <w:tcPr>
            <w:tcW w:w="0" w:type="auto"/>
          </w:tcPr>
          <w:p>
            <w:r>
              <w:t xml:space="preserve">One </w:t>
            </w:r>
          </w:p>
        </w:tc>
      </w:tr>
      <w:tr>
        <w:tc>
          <w:tcPr>
            <w:tcW w:w="0" w:type="auto"/>
          </w:tcPr>
          <w:p>
            <w:r>
              <w:t xml:space="preserve">Two </w:t>
            </w:r>
          </w:p>
        </w:tc>
      </w:tr>
      <w:tr>
        <w:tc>
          <w:tcPr>
            <w:tcW w:w="0" w:type="auto"/>
          </w:tcPr>
          <w:p>
            <w:r>
              <w:t xml:space="preserve">We now resume our normal programming </w:t>
            </w:r>
          </w:p>
        </w:tc>
      </w:tr>
      <w:tr>
        <w:tc>
          <w:tcPr>
            <w:tcW w:w="0" w:type="auto"/>
          </w:tcPr>
          <w:p>
            <w: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8"/>
              </w:rPr>
              <w:t xml:space="preserve">script</w:t>
            </w:r>
          </w:p>
          <w:p>
            <w:r>
              <w:rPr>
                <w:rFonts w:ascii="Ubuntu" w:hAnsi="Ubuntu"/>
                <w:color w:val="000000"/>
                <w:sz w:val="24"/>
              </w:rPr>
              <w:t xml:space="preserve"> and a sub</w:t>
            </w:r>
          </w:p>
          <w:p>
            <w:r>
              <w:rPr>
                <w:rFonts w:ascii="Ubuntu" w:hAnsi="Ubuntu"/>
                <w:color w:val="000000"/>
                <w:sz w:val="18"/>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rPr>
                <w:rFonts w:ascii="Ubuntu" w:hAnsi="Ubuntu"/>
                <w:i/>
                <w:color w:val="808080"/>
                <w:sz w:val="24"/>
              </w:rPr>
              <w:t xml:space="preserve">subtle emphasis  </w:t>
            </w:r>
          </w:p>
          <w:p>
            <w:r>
              <w:rPr>
                <w:rFonts w:ascii="Ubuntu" w:hAnsi="Ubuntu"/>
                <w:b/>
                <w:color w:val="000000"/>
                <w:sz w:val="24"/>
              </w:rPr>
              <w:t xml:space="preserve">strong text </w:t>
            </w:r>
          </w:p>
          <w:p>
            <w:r>
              <w:rPr>
                <w:rFonts w:ascii="Ubuntu" w:hAnsi="Ubuntu"/>
                <w:b/>
                <w:i/>
                <w:color w:val="4F81BD"/>
                <w:sz w:val="24"/>
              </w:rPr>
              <w:t xml:space="preserve">intense emphasis</w:t>
            </w:r>
          </w:p>
        </w:tc>
      </w:tr>
      <w:tr>
        <w:tc>
          <w:tcPr>
            <w:tcW w:w="0" w:type="auto"/>
          </w:tcPr>
          <w:p>
            <w:r>
              <w:t xml:space="preserve">Fun with fonts </w:t>
            </w:r>
          </w:p>
        </w:tc>
      </w:tr>
      <w:tr>
        <w:tc>
          <w:tcPr>
            <w:tcW w:w="0" w:type="auto"/>
          </w:tcPr>
          <w:p>
            <w:r>
              <w:rPr>
                <w:rFonts w:ascii="Ubuntu Mono" w:hAnsi="Ubuntu Mono"/>
                <w:color w:val="000000"/>
                <w:sz w:val="24"/>
              </w:rPr>
              <w:t xml:space="preserve">some text in the Ubuntu Mono typeface, notice how every letter has the same width, even i and m</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r>
          </w:p>
          <w:p>
            <w: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c>
          <w:tcPr>
            <w:tcW w:w="0" w:type="auto"/>
          </w:tcPr>
          <w:p/>
        </w:tc>
        <w:tc>
          <w:tcPr>
            <w:tcW w:w="0" w:type="auto"/>
          </w:tcPr>
          <w:p/>
        </w:tc>
        <w:tc>
          <w:tcPr>
            <w:tcW w:w="0" w:type="auto"/>
          </w:tcPr>
          <w:p/>
        </w:tc>
        <w:tc>
          <w:tcPr>
            <w:tcW w:w="0" w:type="auto"/>
          </w:tcPr>
          <w:p/>
        </w:tc>
      </w:tr>
      <w:tr>
        <w:tc>
          <w:tcPr>
            <w:tcW w:w="0" w:type="auto"/>
          </w:tcPr>
          <w:p>
            <w:r>
              <w:t xml:space="preserve">Point B </w:t>
            </w:r>
          </w:p>
        </w:tc>
        <w:tc>
          <w:tcPr>
            <w:tcW w:w="0" w:type="auto"/>
          </w:tcPr>
          <w:p>
            <w:r>
              <w:t xml:space="preserve">87 </w:t>
            </w:r>
          </w:p>
        </w:tc>
        <w:tc>
          <w:tcPr>
            <w:tcW w:w="0" w:type="auto"/>
          </w:tcPr>
          <w:p>
            <w:r>
              <w:t xml:space="preserve">— </w:t>
            </w:r>
          </w:p>
        </w:tc>
        <w:tc>
          <w:tcPr>
            <w:tcW w:w="0" w:type="auto"/>
          </w:tcPr>
          <w:p/>
        </w:tc>
        <w:tc>
          <w:tcPr>
            <w:tcW w:w="0" w:type="auto"/>
          </w:tcPr>
          <w:p/>
        </w:tc>
        <w:tc>
          <w:tcPr>
            <w:tcW w:w="0" w:type="auto"/>
          </w:tcP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c>
          <w:tcPr>
            <w:tcW w:w="0" w:type="auto"/>
          </w:tcPr>
          <w:p/>
        </w:tc>
        <w:tc>
          <w:tcPr>
            <w:tcW w:w="0" w:type="auto"/>
          </w:tcP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c>
          <w:tcPr>
            <w:tcW w:w="0" w:type="auto"/>
          </w:tcP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Next, we see a table with special formatting in various locations. Notice how the formatting for the header row and sub header rows is preserved. </w:t>
            </w: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tc>
        <w:tc>
          <w:tcPr>
            <w:tcW w:w="0" w:type="auto"/>
          </w:tcPr>
          <w:p>
            <w:r>
              <w:rPr>
                <w:rFonts w:ascii="Ubuntu" w:hAnsi="Ubuntu"/>
                <w:color w:val="808080"/>
                <w:sz w:val="24"/>
              </w:rPr>
              <w:t xml:space="preserve"> </w:t>
            </w:r>
          </w:p>
        </w:tc>
        <w:tc>
          <w:tcPr>
            <w:tcW w:w="0" w:type="auto"/>
          </w:tcPr>
          <w:p/>
        </w:tc>
        <w:tc>
          <w:tcPr>
            <w:tcW w:w="0" w:type="auto"/>
          </w:tcP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r>
              <w:rPr>
                <w:rFonts w:ascii="Ubuntu" w:hAnsi="Ubuntu"/>
                <w:color w:val="000000"/>
                <w:sz w:val="20"/>
              </w:rPr>
              <w:t xml:space="preserve"> Fictitious data, for illustration purposes only </w:t>
            </w: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r>
              <w:t xml:space="preserve">Four </w:t>
            </w:r>
          </w:p>
        </w:tc>
      </w:tr>
      <w:tr>
        <w:tc>
          <w:tcPr>
            <w:tcW w:w="0" w:type="auto"/>
          </w:tcP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30 </w:t>
            </w:r>
          </w:p>
        </w:tc>
        <w:tc>
          <w:tcPr>
            <w:tcW w:w="0" w:type="auto"/>
          </w:tcPr>
          <w:p/>
        </w:tc>
        <w:tc>
          <w:tcPr>
            <w:tcW w:w="0" w:type="auto"/>
          </w:tcPr>
          <w:p>
            <w:r>
              <w:t xml:space="preserve">31 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Structural Elements </w:t>
            </w: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rPr>
                <w:rFonts w:ascii="Ubuntu" w:hAnsi="Ubuntu"/>
                <w:color w:val="000000"/>
                <w:sz w:val="18"/>
              </w:rPr>
              <w:t xml:space="preserve">1</w:t>
            </w:r>
          </w:p>
          <w:p>
            <w:r>
              <w:rPr>
                <w:rFonts w:ascii="Ubuntu" w:hAnsi="Ubuntu"/>
                <w:color w:val="000000"/>
                <w:sz w:val="18"/>
              </w:rPr>
              <w:t xml:space="preserve">i</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rPr>
                <w:rFonts w:ascii="Ubuntu" w:hAnsi="Ubuntu"/>
                <w:color w:val="0000FF"/>
                <w:sz w:val="24"/>
                <w:u w:val="single"/>
              </w:rPr>
              <w:t xml:space="preserve">calibre download page</w:t>
            </w:r>
          </w:p>
          <w:p>
            <w:r>
              <w:rPr>
                <w:rFonts w:ascii="Ubuntu" w:hAnsi="Ubuntu"/>
                <w:color w:val="0000FF"/>
                <w:sz w:val="24"/>
                <w:u w:val="single"/>
              </w:rPr>
              <w:t xml:space="preserve">paragraph level formatting</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5731510" cy="5731510"/>
                          </a:xfrm>
                          <a:prstGeom prst="rect">
                            <a:avLst/>
                          </a:prstGeom>
                        </pic:spPr>
                      </pic:pic>
                    </a:graphicData>
                  </a:graphic>
                </wp:inline>
              </w:drawing>
            </w:r>
          </w:p>
        </w:tc>
      </w:tr>
      <w:tr>
        <w:tc>
          <w:tcPr>
            <w:tcW w:w="0" w:type="auto"/>
          </w:tcPr>
          <w:p>
            <w:r>
              <w:rPr>
                <w:rFonts w:ascii="Ubuntu" w:hAnsi="Ubuntu"/>
                <w:i/>
                <w:color w:val="808080"/>
                <w:sz w:val="24"/>
              </w:rPr>
              <w:t xml:space="preserve">inserted</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bl>
    <w:p>
      <w:pPr>
        <w:pStyle w:val="Heading2"/>
      </w:pPr>
      <w:r>
        <w:t xml:space="preserve">Chart_Sheet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5"/>
        <w:gridCol w:w="1805"/>
        <w:gridCol w:w="1805"/>
        <w:gridCol w:w="1805"/>
        <w:gridCol w:w="1805"/>
      </w:tblGrid>
      <w:tr>
        <w:tc>
          <w:tcPr>
            <w:tcW w:w="0" w:type="auto"/>
          </w:tcPr>
          <w:p>
            <w:r>
              <w:t xml:space="preserve">Charts</w:t>
            </w:r>
          </w:p>
        </w:tc>
      </w:tr>
      <w:tr>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D2</w:t>
                  </w:r>
                </w:p>
              </w:tc>
              <w:tc>
                <w:tcPr>
                  <w:tcW w:w="0" w:type="auto"/>
                </w:tcPr>
                <w:p>
                  <w:r>
                    <w:t xml:space="preserve">Series E2</w:t>
                  </w:r>
                </w:p>
              </w:tc>
              <w:tc>
                <w:tcPr>
                  <w:tcW w:w="0" w:type="auto"/>
                </w:tcPr>
                <w:p>
                  <w:r>
                    <w:t xml:space="preserve">Series F2</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p/>
        </w:tc>
        <w:tc>
          <w:tcPr>
            <w:tcW w:w="0" w:type="auto"/>
          </w:tcPr>
          <w:p>
            <w:r>
              <w:t xml:space="preserve">Category 2</w:t>
            </w:r>
          </w:p>
        </w:tc>
        <w:tc>
          <w:tcPr>
            <w:tcW w:w="0" w:type="auto"/>
          </w:tcPr>
          <w:p>
            <w:r>
              <w:t xml:space="preserve">2.5</w:t>
            </w:r>
          </w:p>
        </w:tc>
        <w:tc>
          <w:tcPr>
            <w:tcW w:w="0" w:type="auto"/>
          </w:tcPr>
          <w:p>
            <w:r>
              <w:t xml:space="preserve">4.4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