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D4" w:rsidRDefault="00CA75D4" w:rsidP="005E1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2986"/>
        <w:gridCol w:w="3649"/>
      </w:tblGrid>
      <w:tr w:rsidR="005E17B8" w:rsidTr="005E17B8">
        <w:tc>
          <w:tcPr>
            <w:tcW w:w="3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7B8" w:rsidRDefault="005E17B8" w:rsidP="005E17B8">
            <w:r>
              <w:rPr>
                <w:noProof/>
                <w:lang w:eastAsia="en-GB"/>
              </w:rPr>
              <w:drawing>
                <wp:inline distT="0" distB="0" distL="0" distR="0">
                  <wp:extent cx="1508760" cy="993648"/>
                  <wp:effectExtent l="19050" t="0" r="0" b="0"/>
                  <wp:docPr id="4" name="Picture 2" descr="ECU_RGB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U_RGB 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99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7B8" w:rsidRDefault="005E17B8" w:rsidP="00CA75D4">
            <w:pPr>
              <w:jc w:val="right"/>
            </w:pPr>
          </w:p>
        </w:tc>
        <w:tc>
          <w:tcPr>
            <w:tcW w:w="32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7B8" w:rsidRDefault="005E17B8" w:rsidP="005E17B8">
            <w:r>
              <w:rPr>
                <w:noProof/>
                <w:lang w:eastAsia="en-GB"/>
              </w:rPr>
              <w:drawing>
                <wp:inline distT="0" distB="0" distL="0" distR="0">
                  <wp:extent cx="2161032" cy="1078992"/>
                  <wp:effectExtent l="19050" t="0" r="0" b="0"/>
                  <wp:docPr id="5" name="Picture 0" descr="A_SWAN_LOGO_3 Colour + Type 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SWAN_LOGO_3 Colour + Type RGB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2" cy="107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44A" w:rsidRDefault="0044044A" w:rsidP="0044044A">
      <w:pPr>
        <w:pStyle w:val="Title"/>
        <w:rPr>
          <w:rStyle w:val="Emphasis"/>
          <w:b/>
          <w:iCs w:val="0"/>
        </w:rPr>
      </w:pPr>
    </w:p>
    <w:p w:rsidR="00D60C8E" w:rsidRDefault="00D60C8E" w:rsidP="0044044A">
      <w:pPr>
        <w:pStyle w:val="Title"/>
        <w:rPr>
          <w:rStyle w:val="Emphasis"/>
          <w:b/>
          <w:iCs w:val="0"/>
        </w:rPr>
      </w:pPr>
      <w:r w:rsidRPr="009A73F9">
        <w:rPr>
          <w:rStyle w:val="Emphasis"/>
          <w:b/>
          <w:iCs w:val="0"/>
        </w:rPr>
        <w:t xml:space="preserve">Athena SWAN Winners </w:t>
      </w:r>
      <w:r w:rsidR="008809B9">
        <w:rPr>
          <w:rStyle w:val="Emphasis"/>
          <w:b/>
          <w:iCs w:val="0"/>
        </w:rPr>
        <w:t>September</w:t>
      </w:r>
      <w:r w:rsidRPr="009A73F9">
        <w:rPr>
          <w:rStyle w:val="Emphasis"/>
          <w:b/>
          <w:iCs w:val="0"/>
        </w:rPr>
        <w:t xml:space="preserve"> 201</w:t>
      </w:r>
      <w:r w:rsidR="005E17B8" w:rsidRPr="009A73F9">
        <w:rPr>
          <w:rStyle w:val="Emphasis"/>
          <w:b/>
          <w:iCs w:val="0"/>
        </w:rPr>
        <w:t>4</w:t>
      </w:r>
    </w:p>
    <w:p w:rsidR="00D27710" w:rsidRPr="00A817AB" w:rsidRDefault="00D27710" w:rsidP="0044044A">
      <w:pPr>
        <w:pStyle w:val="Heading2"/>
        <w:rPr>
          <w:rStyle w:val="Emphasis"/>
          <w:b/>
          <w:iCs w:val="0"/>
        </w:rPr>
      </w:pPr>
      <w:r w:rsidRPr="0044044A">
        <w:t xml:space="preserve">Bronze </w:t>
      </w:r>
      <w:r w:rsidR="00343401" w:rsidRPr="0044044A">
        <w:rPr>
          <w:rStyle w:val="Emphasis"/>
          <w:b/>
          <w:iCs w:val="0"/>
          <w:color w:val="auto"/>
        </w:rPr>
        <w:t>institution</w:t>
      </w:r>
      <w:r w:rsidRPr="0044044A">
        <w:t xml:space="preserve"> award</w:t>
      </w:r>
    </w:p>
    <w:p w:rsidR="00BF0DB1" w:rsidRPr="00BF0DB1" w:rsidRDefault="00BF0DB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>Aberystwyth University</w:t>
      </w:r>
    </w:p>
    <w:p w:rsidR="00BF0DB1" w:rsidRPr="00BF0DB1" w:rsidRDefault="00BF0DB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 xml:space="preserve">Centre for Ecology </w:t>
      </w:r>
      <w:r>
        <w:rPr>
          <w:lang w:eastAsia="en-GB"/>
        </w:rPr>
        <w:t>and</w:t>
      </w:r>
      <w:r w:rsidRPr="00BF0DB1">
        <w:rPr>
          <w:lang w:eastAsia="en-GB"/>
        </w:rPr>
        <w:t xml:space="preserve"> Hydrology</w:t>
      </w:r>
    </w:p>
    <w:p w:rsidR="00BF0DB1" w:rsidRPr="00BF0DB1" w:rsidRDefault="00BF0DB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>Liverpool John Moores University</w:t>
      </w:r>
    </w:p>
    <w:p w:rsidR="00BF0DB1" w:rsidRPr="00BF0DB1" w:rsidRDefault="00BF0DB1" w:rsidP="00BF0DB1">
      <w:pPr>
        <w:pStyle w:val="ListBullet"/>
        <w:rPr>
          <w:lang w:eastAsia="en-GB"/>
        </w:rPr>
      </w:pPr>
      <w:proofErr w:type="spellStart"/>
      <w:r w:rsidRPr="00BF0DB1">
        <w:rPr>
          <w:lang w:eastAsia="en-GB"/>
        </w:rPr>
        <w:t>Rothamsted</w:t>
      </w:r>
      <w:proofErr w:type="spellEnd"/>
      <w:r w:rsidRPr="00BF0DB1">
        <w:rPr>
          <w:lang w:eastAsia="en-GB"/>
        </w:rPr>
        <w:t xml:space="preserve"> Research</w:t>
      </w:r>
    </w:p>
    <w:p w:rsidR="00BF0DB1" w:rsidRPr="00BF0DB1" w:rsidRDefault="00BF0DB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>University of Central Lancashire</w:t>
      </w:r>
    </w:p>
    <w:p w:rsidR="00BF0DB1" w:rsidRPr="00BF0DB1" w:rsidRDefault="00BF0DB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>University of Lincoln</w:t>
      </w:r>
    </w:p>
    <w:p w:rsidR="00BF0DB1" w:rsidRPr="00BF0DB1" w:rsidRDefault="00BF0DB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>University of Portsmouth</w:t>
      </w:r>
    </w:p>
    <w:p w:rsidR="00D27710" w:rsidRPr="00737C68" w:rsidRDefault="00D27710" w:rsidP="0044044A">
      <w:pPr>
        <w:pStyle w:val="Heading3"/>
        <w:rPr>
          <w:rStyle w:val="Emphasis"/>
          <w:b/>
          <w:iCs w:val="0"/>
        </w:rPr>
      </w:pPr>
      <w:r w:rsidRPr="00737C68">
        <w:rPr>
          <w:rStyle w:val="Emphasis"/>
          <w:b/>
          <w:iCs w:val="0"/>
        </w:rPr>
        <w:t xml:space="preserve">Bronze </w:t>
      </w:r>
      <w:r w:rsidR="00343401">
        <w:rPr>
          <w:rStyle w:val="Emphasis"/>
          <w:b/>
          <w:iCs w:val="0"/>
        </w:rPr>
        <w:t>institution</w:t>
      </w:r>
      <w:r w:rsidRPr="00737C68">
        <w:rPr>
          <w:rStyle w:val="Emphasis"/>
          <w:b/>
          <w:iCs w:val="0"/>
        </w:rPr>
        <w:t xml:space="preserve"> renewal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Cardiff University</w:t>
      </w:r>
    </w:p>
    <w:p w:rsidR="00343401" w:rsidRPr="00BF0DB1" w:rsidRDefault="00343401" w:rsidP="00343401">
      <w:pPr>
        <w:pStyle w:val="ListBullet"/>
        <w:rPr>
          <w:lang w:eastAsia="en-GB"/>
        </w:rPr>
      </w:pPr>
      <w:proofErr w:type="spellStart"/>
      <w:r w:rsidRPr="00BF0DB1">
        <w:rPr>
          <w:lang w:eastAsia="en-GB"/>
        </w:rPr>
        <w:t>Keele</w:t>
      </w:r>
      <w:proofErr w:type="spellEnd"/>
      <w:r w:rsidRPr="00BF0DB1">
        <w:rPr>
          <w:lang w:eastAsia="en-GB"/>
        </w:rPr>
        <w:t xml:space="preserve"> University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Loughborough University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Royal Holloway, University of London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Strathclyde</w:t>
      </w:r>
    </w:p>
    <w:p w:rsidR="00D27710" w:rsidRPr="0044044A" w:rsidRDefault="00D27710" w:rsidP="0044044A">
      <w:pPr>
        <w:pStyle w:val="Heading2"/>
        <w:rPr>
          <w:rStyle w:val="Emphasis"/>
          <w:b/>
          <w:iCs w:val="0"/>
        </w:rPr>
      </w:pPr>
      <w:r w:rsidRPr="0044044A">
        <w:rPr>
          <w:rStyle w:val="Emphasis"/>
          <w:b/>
          <w:iCs w:val="0"/>
        </w:rPr>
        <w:t>Bronze department award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Brunel University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Maths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Durham University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Chemistry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Imperial College London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Surgery and Cancer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Imperial College London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Institute of Clinical Sciences and MRC Clinical Sciences Centre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King's College London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Division of Palliative Care, Policy</w:t>
      </w:r>
      <w:r w:rsidR="00667B92" w:rsidRPr="00667B92">
        <w:rPr>
          <w:lang w:eastAsia="en-GB"/>
        </w:rPr>
        <w:t xml:space="preserve">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Rehabilitation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King's College London</w:t>
      </w:r>
      <w:r>
        <w:rPr>
          <w:lang w:eastAsia="en-GB"/>
        </w:rPr>
        <w:t xml:space="preserve"> – </w:t>
      </w:r>
      <w:r w:rsidRPr="00BF0DB1">
        <w:rPr>
          <w:lang w:eastAsia="en-GB"/>
        </w:rPr>
        <w:t xml:space="preserve">Division of Asthma, Allergy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Lung Biology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King's College London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Division of Imaging Sciences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Biomedical Engineering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King's College London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Faculty of Natural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Mathematical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 xml:space="preserve">London School of Hygiene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Tropical Medicine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Faculty of Infe</w:t>
      </w:r>
      <w:r w:rsidR="002D785D">
        <w:rPr>
          <w:lang w:eastAsia="en-GB"/>
        </w:rPr>
        <w:t xml:space="preserve">ctious </w:t>
      </w:r>
      <w:r w:rsidRPr="00BF0DB1">
        <w:rPr>
          <w:lang w:eastAsia="en-GB"/>
        </w:rPr>
        <w:t>and Tropical Diseases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Loughborough University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Design School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lastRenderedPageBreak/>
        <w:t>Newcastle University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Agriculture, Food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Rural Development 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Newcastle University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School of Civil Engineering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Geosciences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College London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UCL Institute of Cardiovascular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Bath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Pharmacy and Pharmacology 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Birmingham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Psychology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Bristol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Physics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Cambridge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Biochemistry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Cambridge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Physiology, Development and Neuroscience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Cambridge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</w:t>
      </w:r>
      <w:proofErr w:type="spellStart"/>
      <w:r w:rsidRPr="00BF0DB1">
        <w:rPr>
          <w:lang w:eastAsia="en-GB"/>
        </w:rPr>
        <w:t>Wellcome</w:t>
      </w:r>
      <w:proofErr w:type="spellEnd"/>
      <w:r w:rsidRPr="00BF0DB1">
        <w:rPr>
          <w:lang w:eastAsia="en-GB"/>
        </w:rPr>
        <w:t xml:space="preserve"> Trust/Cancer Research UK Gurdon Institute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Dundee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College of Medicine, Dentistry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Nursing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East Anglia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Environmental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East Anglia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Nursing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East Anglia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Rehabilitation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Exeter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Mathematics and Computer Science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Exeter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Psychology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Glasgow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Institute of Health and Wellbeing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Glasgow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Chemistry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Kent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Mathematics, Statistics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Actuarial Science 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Leeds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Faculty of Biological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Leicester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Biochemistry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Leicester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Cell Physiology and Pharmacology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Liverpool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Engineering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Liverpool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Physical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Manchester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Electrical and Electronic Engineering 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Nottingham</w:t>
      </w:r>
      <w:r w:rsidR="002D785D">
        <w:rPr>
          <w:lang w:eastAsia="en-GB"/>
        </w:rPr>
        <w:t xml:space="preserve">, </w:t>
      </w:r>
      <w:r w:rsidRPr="00BF0DB1">
        <w:rPr>
          <w:lang w:eastAsia="en-GB"/>
        </w:rPr>
        <w:t>Malaysia Campus</w:t>
      </w:r>
      <w:r w:rsidR="002D785D">
        <w:rPr>
          <w:lang w:eastAsia="en-GB"/>
        </w:rPr>
        <w:t xml:space="preserve"> –</w:t>
      </w:r>
      <w:r w:rsidR="002D785D" w:rsidRPr="00BF0DB1">
        <w:rPr>
          <w:lang w:eastAsia="en-GB"/>
        </w:rPr>
        <w:t xml:space="preserve"> </w:t>
      </w:r>
      <w:r w:rsidRPr="00BF0DB1">
        <w:rPr>
          <w:lang w:eastAsia="en-GB"/>
        </w:rPr>
        <w:t>Faculty of Science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Nottingham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Biosciences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Nottingham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Medicine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Oxford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Statistics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Sheffield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Nursing and Midwifery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St Andrews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Mathematics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Statistics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St Andrews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Psychology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Neuroscience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Strathclyde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Mechanical </w:t>
      </w:r>
      <w:r w:rsidR="00667B92">
        <w:rPr>
          <w:lang w:eastAsia="en-GB"/>
        </w:rPr>
        <w:t>and</w:t>
      </w:r>
      <w:r w:rsidRPr="00BF0DB1">
        <w:rPr>
          <w:lang w:eastAsia="en-GB"/>
        </w:rPr>
        <w:t xml:space="preserve"> Aerospace Engineering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Sussex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Physics and Astronomy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Sussex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Life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lastRenderedPageBreak/>
        <w:t>University of the West of England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Departments of Allied Health Professions and Nursing and Midwifery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Warwick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Department of Computer Science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York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Centre for Health Economics</w:t>
      </w:r>
    </w:p>
    <w:p w:rsidR="00D27710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York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Environment Department</w:t>
      </w:r>
    </w:p>
    <w:p w:rsidR="00D27710" w:rsidRPr="0044044A" w:rsidRDefault="00D27710" w:rsidP="0044044A">
      <w:pPr>
        <w:pStyle w:val="Heading3"/>
        <w:rPr>
          <w:rStyle w:val="Emphasis"/>
          <w:b/>
          <w:iCs w:val="0"/>
        </w:rPr>
      </w:pPr>
      <w:r w:rsidRPr="0044044A">
        <w:rPr>
          <w:rStyle w:val="Emphasis"/>
          <w:b/>
          <w:iCs w:val="0"/>
        </w:rPr>
        <w:t>Bronze department renewal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Aston University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School of Life and Health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Leiceste</w:t>
      </w:r>
      <w:r>
        <w:rPr>
          <w:lang w:eastAsia="en-GB"/>
        </w:rPr>
        <w:t>r –</w:t>
      </w:r>
      <w:r w:rsidRPr="00BF0DB1">
        <w:rPr>
          <w:lang w:eastAsia="en-GB"/>
        </w:rPr>
        <w:t xml:space="preserve"> School of Psychology</w:t>
      </w:r>
    </w:p>
    <w:p w:rsidR="00D27710" w:rsidRPr="005640E0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Southampton</w:t>
      </w:r>
      <w:r>
        <w:rPr>
          <w:lang w:eastAsia="en-GB"/>
        </w:rPr>
        <w:t xml:space="preserve"> –</w:t>
      </w:r>
      <w:r w:rsidRPr="00BF0DB1">
        <w:rPr>
          <w:lang w:eastAsia="en-GB"/>
        </w:rPr>
        <w:t xml:space="preserve"> Faculty of Medicine</w:t>
      </w:r>
    </w:p>
    <w:p w:rsidR="00BF0DB1" w:rsidRPr="0044044A" w:rsidRDefault="00BF0DB1" w:rsidP="0044044A">
      <w:pPr>
        <w:pStyle w:val="Heading2"/>
        <w:rPr>
          <w:rStyle w:val="Emphasis"/>
          <w:b/>
          <w:iCs w:val="0"/>
          <w:color w:val="auto"/>
        </w:rPr>
      </w:pPr>
      <w:r w:rsidRPr="0044044A">
        <w:rPr>
          <w:rStyle w:val="Emphasis"/>
          <w:b/>
          <w:iCs w:val="0"/>
          <w:color w:val="auto"/>
        </w:rPr>
        <w:t>Silver institution award</w:t>
      </w:r>
    </w:p>
    <w:p w:rsidR="00BF0DB1" w:rsidRPr="00BF0DB1" w:rsidRDefault="00343401" w:rsidP="00BF0DB1">
      <w:pPr>
        <w:pStyle w:val="ListBullet"/>
        <w:rPr>
          <w:lang w:eastAsia="en-GB"/>
        </w:rPr>
      </w:pPr>
      <w:r w:rsidRPr="00BF0DB1">
        <w:rPr>
          <w:lang w:eastAsia="en-GB"/>
        </w:rPr>
        <w:t>University of Cambridge</w:t>
      </w:r>
    </w:p>
    <w:p w:rsidR="00D27710" w:rsidRPr="0044044A" w:rsidRDefault="00D27710" w:rsidP="0044044A">
      <w:pPr>
        <w:pStyle w:val="Heading2"/>
        <w:rPr>
          <w:rStyle w:val="Emphasis"/>
          <w:b/>
          <w:iCs w:val="0"/>
          <w:color w:val="auto"/>
        </w:rPr>
      </w:pPr>
      <w:r w:rsidRPr="0044044A">
        <w:rPr>
          <w:rStyle w:val="Emphasis"/>
          <w:b/>
          <w:iCs w:val="0"/>
          <w:color w:val="auto"/>
        </w:rPr>
        <w:t>Silver department award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King's College London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Cardiovascular Division 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King's College London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Division of Women’s Health 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Queen's University Belfast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School of Pharmacy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College London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UCL Cancer Institute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Birmingham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School of Physics and Astronomy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Edinburgh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School of Physics and Astronomy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Edinburgh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The </w:t>
      </w:r>
      <w:proofErr w:type="spellStart"/>
      <w:r w:rsidRPr="00BF0DB1">
        <w:rPr>
          <w:lang w:eastAsia="en-GB"/>
        </w:rPr>
        <w:t>Roslin</w:t>
      </w:r>
      <w:proofErr w:type="spellEnd"/>
      <w:r w:rsidRPr="00BF0DB1">
        <w:rPr>
          <w:lang w:eastAsia="en-GB"/>
        </w:rPr>
        <w:t xml:space="preserve"> Institute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Exeter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Sport and Health Sciences</w:t>
      </w:r>
    </w:p>
    <w:p w:rsidR="00343401" w:rsidRPr="00BF0DB1" w:rsidRDefault="00343401" w:rsidP="00343401">
      <w:pPr>
        <w:pStyle w:val="ListBullet"/>
        <w:rPr>
          <w:lang w:eastAsia="en-GB"/>
        </w:rPr>
      </w:pPr>
      <w:r>
        <w:rPr>
          <w:lang w:eastAsia="en-GB"/>
        </w:rPr>
        <w:t>University of Exeter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University of Exeter Medical School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Liverpool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the Institute of Ageing and Chronic Disease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Manchester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Manchester Pharmacy School</w:t>
      </w:r>
    </w:p>
    <w:p w:rsidR="00343401" w:rsidRPr="00BF0DB1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Sheffield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School </w:t>
      </w:r>
      <w:r w:rsidR="002F1D83">
        <w:rPr>
          <w:lang w:eastAsia="en-GB"/>
        </w:rPr>
        <w:t xml:space="preserve">of Health and Related Research </w:t>
      </w:r>
    </w:p>
    <w:p w:rsidR="00BF0DB1" w:rsidRPr="005640E0" w:rsidRDefault="00343401" w:rsidP="00343401">
      <w:pPr>
        <w:pStyle w:val="ListBullet"/>
        <w:rPr>
          <w:lang w:eastAsia="en-GB"/>
        </w:rPr>
      </w:pPr>
      <w:r w:rsidRPr="00BF0DB1">
        <w:rPr>
          <w:lang w:eastAsia="en-GB"/>
        </w:rPr>
        <w:t>University of St Andrews</w:t>
      </w:r>
      <w:r w:rsidRPr="005640E0"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School of Chemistry </w:t>
      </w:r>
    </w:p>
    <w:p w:rsidR="00D27710" w:rsidRPr="0044044A" w:rsidRDefault="00D27710" w:rsidP="0044044A">
      <w:pPr>
        <w:pStyle w:val="Heading3"/>
        <w:rPr>
          <w:rStyle w:val="Emphasis"/>
          <w:b/>
          <w:iCs w:val="0"/>
        </w:rPr>
      </w:pPr>
      <w:r w:rsidRPr="0044044A">
        <w:rPr>
          <w:rStyle w:val="Emphasis"/>
          <w:b/>
          <w:iCs w:val="0"/>
        </w:rPr>
        <w:t>Silver department renewal</w:t>
      </w:r>
    </w:p>
    <w:p w:rsidR="00667B92" w:rsidRPr="00BF0DB1" w:rsidRDefault="00667B92" w:rsidP="00667B92">
      <w:pPr>
        <w:pStyle w:val="ListBullet"/>
        <w:rPr>
          <w:lang w:eastAsia="en-GB"/>
        </w:rPr>
      </w:pPr>
      <w:r w:rsidRPr="00BF0DB1">
        <w:rPr>
          <w:lang w:eastAsia="en-GB"/>
        </w:rPr>
        <w:t>Imperial College London</w:t>
      </w:r>
      <w:r>
        <w:rPr>
          <w:lang w:eastAsia="en-GB"/>
        </w:rPr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Department of Chemical Engineering</w:t>
      </w:r>
    </w:p>
    <w:p w:rsidR="00667B92" w:rsidRPr="00BF0DB1" w:rsidRDefault="00667B92" w:rsidP="00667B92">
      <w:pPr>
        <w:pStyle w:val="ListBullet"/>
        <w:rPr>
          <w:lang w:eastAsia="en-GB"/>
        </w:rPr>
      </w:pPr>
      <w:r w:rsidRPr="00BF0DB1">
        <w:rPr>
          <w:lang w:eastAsia="en-GB"/>
        </w:rPr>
        <w:t xml:space="preserve">Imperial College London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National Heart </w:t>
      </w:r>
      <w:r>
        <w:rPr>
          <w:lang w:eastAsia="en-GB"/>
        </w:rPr>
        <w:t>and</w:t>
      </w:r>
      <w:r w:rsidRPr="00BF0DB1">
        <w:rPr>
          <w:lang w:eastAsia="en-GB"/>
        </w:rPr>
        <w:t xml:space="preserve"> Lung institute</w:t>
      </w:r>
    </w:p>
    <w:p w:rsidR="00667B92" w:rsidRPr="00BF0DB1" w:rsidRDefault="00667B92" w:rsidP="00667B92">
      <w:pPr>
        <w:pStyle w:val="ListBullet"/>
        <w:rPr>
          <w:lang w:eastAsia="en-GB"/>
        </w:rPr>
      </w:pPr>
      <w:proofErr w:type="spellStart"/>
      <w:r w:rsidRPr="00BF0DB1">
        <w:rPr>
          <w:lang w:eastAsia="en-GB"/>
        </w:rPr>
        <w:t>Keele</w:t>
      </w:r>
      <w:proofErr w:type="spellEnd"/>
      <w:r w:rsidRPr="00BF0DB1">
        <w:rPr>
          <w:lang w:eastAsia="en-GB"/>
        </w:rPr>
        <w:t xml:space="preserve"> University</w:t>
      </w:r>
      <w:r>
        <w:rPr>
          <w:lang w:eastAsia="en-GB"/>
        </w:rPr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School of Life Sciences</w:t>
      </w:r>
    </w:p>
    <w:p w:rsidR="00667B92" w:rsidRPr="00BF0DB1" w:rsidRDefault="00667B92" w:rsidP="00667B92">
      <w:pPr>
        <w:pStyle w:val="ListBullet"/>
        <w:rPr>
          <w:lang w:eastAsia="en-GB"/>
        </w:rPr>
      </w:pPr>
      <w:r w:rsidRPr="00BF0DB1">
        <w:rPr>
          <w:lang w:eastAsia="en-GB"/>
        </w:rPr>
        <w:t>Newcastle University</w:t>
      </w:r>
      <w:r>
        <w:rPr>
          <w:lang w:eastAsia="en-GB"/>
        </w:rPr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 xml:space="preserve">Institute of Health </w:t>
      </w:r>
      <w:r>
        <w:rPr>
          <w:lang w:eastAsia="en-GB"/>
        </w:rPr>
        <w:t>and</w:t>
      </w:r>
      <w:r w:rsidRPr="00BF0DB1">
        <w:rPr>
          <w:lang w:eastAsia="en-GB"/>
        </w:rPr>
        <w:t xml:space="preserve"> Society</w:t>
      </w:r>
    </w:p>
    <w:p w:rsidR="00667B92" w:rsidRPr="00BF0DB1" w:rsidRDefault="00667B92" w:rsidP="00667B92">
      <w:pPr>
        <w:pStyle w:val="ListBullet"/>
        <w:rPr>
          <w:lang w:eastAsia="en-GB"/>
        </w:rPr>
      </w:pPr>
      <w:r w:rsidRPr="00BF0DB1">
        <w:rPr>
          <w:lang w:eastAsia="en-GB"/>
        </w:rPr>
        <w:t>University of Edinburgh</w:t>
      </w:r>
      <w:r>
        <w:rPr>
          <w:lang w:eastAsia="en-GB"/>
        </w:rPr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School of Biomedical Sciences</w:t>
      </w:r>
    </w:p>
    <w:p w:rsidR="00292EA5" w:rsidRDefault="00667B92" w:rsidP="00292EA5">
      <w:pPr>
        <w:pStyle w:val="ListBullet"/>
        <w:rPr>
          <w:lang w:eastAsia="en-GB"/>
        </w:rPr>
      </w:pPr>
      <w:r w:rsidRPr="00BF0DB1">
        <w:rPr>
          <w:lang w:eastAsia="en-GB"/>
        </w:rPr>
        <w:t>University of York</w:t>
      </w:r>
      <w:r>
        <w:rPr>
          <w:lang w:eastAsia="en-GB"/>
        </w:rPr>
        <w:t xml:space="preserve"> </w:t>
      </w:r>
      <w:r>
        <w:t>–</w:t>
      </w:r>
      <w:r w:rsidRPr="005640E0">
        <w:t xml:space="preserve"> </w:t>
      </w:r>
      <w:r w:rsidRPr="00BF0DB1">
        <w:rPr>
          <w:lang w:eastAsia="en-GB"/>
        </w:rPr>
        <w:t>Department of Physics</w:t>
      </w:r>
      <w:bookmarkStart w:id="0" w:name="_GoBack"/>
      <w:bookmarkEnd w:id="0"/>
    </w:p>
    <w:sectPr w:rsidR="00292EA5" w:rsidSect="0044044A">
      <w:footerReference w:type="even" r:id="rId11"/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690" w:rsidRDefault="00FA0690" w:rsidP="00E2486E">
      <w:pPr>
        <w:spacing w:before="0"/>
      </w:pPr>
      <w:r>
        <w:separator/>
      </w:r>
    </w:p>
  </w:endnote>
  <w:endnote w:type="continuationSeparator" w:id="0">
    <w:p w:rsidR="00FA0690" w:rsidRDefault="00FA0690" w:rsidP="00E248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690" w:rsidRDefault="00FA0690" w:rsidP="00FB6F66">
    <w:pPr>
      <w:pStyle w:val="Footer"/>
      <w:jc w:val="right"/>
    </w:pPr>
    <w:proofErr w:type="gramStart"/>
    <w:r>
      <w:t>Cont ...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690" w:rsidRDefault="00FA0690" w:rsidP="00B059EA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690" w:rsidRDefault="00FA0690" w:rsidP="00E2486E">
    <w:pPr>
      <w:jc w:val="right"/>
    </w:pPr>
    <w:proofErr w:type="gramStart"/>
    <w:r>
      <w:t>Cont ...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690" w:rsidRDefault="00FA0690" w:rsidP="00E2486E">
      <w:pPr>
        <w:spacing w:before="0"/>
      </w:pPr>
      <w:r>
        <w:separator/>
      </w:r>
    </w:p>
  </w:footnote>
  <w:footnote w:type="continuationSeparator" w:id="0">
    <w:p w:rsidR="00FA0690" w:rsidRDefault="00FA0690" w:rsidP="00E2486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D0C2364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3767"/>
      </w:rPr>
    </w:lvl>
  </w:abstractNum>
  <w:abstractNum w:abstractNumId="1">
    <w:nsid w:val="FFFFFF89"/>
    <w:multiLevelType w:val="singleLevel"/>
    <w:tmpl w:val="7DD6DD98"/>
    <w:lvl w:ilvl="0">
      <w:start w:val="1"/>
      <w:numFmt w:val="bullet"/>
      <w:pStyle w:val="ListBullet"/>
      <w:lvlText w:val="="/>
      <w:lvlJc w:val="left"/>
      <w:pPr>
        <w:ind w:left="644" w:hanging="360"/>
      </w:pPr>
      <w:rPr>
        <w:rFonts w:ascii="Calibri" w:hAnsi="Calibri" w:hint="default"/>
        <w:b w:val="0"/>
        <w:i w:val="0"/>
        <w:color w:val="0093D0"/>
      </w:rPr>
    </w:lvl>
  </w:abstractNum>
  <w:abstractNum w:abstractNumId="2">
    <w:nsid w:val="188441A8"/>
    <w:multiLevelType w:val="hybridMultilevel"/>
    <w:tmpl w:val="6C52F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76EEA"/>
    <w:multiLevelType w:val="hybridMultilevel"/>
    <w:tmpl w:val="9E76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D4"/>
    <w:rsid w:val="00000399"/>
    <w:rsid w:val="00013C1B"/>
    <w:rsid w:val="0002022F"/>
    <w:rsid w:val="00021977"/>
    <w:rsid w:val="00022FBC"/>
    <w:rsid w:val="00023777"/>
    <w:rsid w:val="00052A19"/>
    <w:rsid w:val="00060505"/>
    <w:rsid w:val="000631EE"/>
    <w:rsid w:val="000655E0"/>
    <w:rsid w:val="000730B6"/>
    <w:rsid w:val="00076045"/>
    <w:rsid w:val="000A3B9B"/>
    <w:rsid w:val="000C015E"/>
    <w:rsid w:val="000D344E"/>
    <w:rsid w:val="000D6175"/>
    <w:rsid w:val="000E373C"/>
    <w:rsid w:val="00101CFE"/>
    <w:rsid w:val="00140895"/>
    <w:rsid w:val="00142D09"/>
    <w:rsid w:val="00151FC7"/>
    <w:rsid w:val="001620FA"/>
    <w:rsid w:val="001706D0"/>
    <w:rsid w:val="00174812"/>
    <w:rsid w:val="00192D12"/>
    <w:rsid w:val="001934C4"/>
    <w:rsid w:val="00196696"/>
    <w:rsid w:val="001B389C"/>
    <w:rsid w:val="001C2328"/>
    <w:rsid w:val="001D6E97"/>
    <w:rsid w:val="001E2360"/>
    <w:rsid w:val="00202B58"/>
    <w:rsid w:val="002053CD"/>
    <w:rsid w:val="002124A3"/>
    <w:rsid w:val="00223107"/>
    <w:rsid w:val="0023463A"/>
    <w:rsid w:val="0024657B"/>
    <w:rsid w:val="002526DC"/>
    <w:rsid w:val="00253D18"/>
    <w:rsid w:val="002612E6"/>
    <w:rsid w:val="0026300E"/>
    <w:rsid w:val="0027023A"/>
    <w:rsid w:val="00271B72"/>
    <w:rsid w:val="002738E8"/>
    <w:rsid w:val="002765A5"/>
    <w:rsid w:val="00292EA5"/>
    <w:rsid w:val="002A37C3"/>
    <w:rsid w:val="002C29D6"/>
    <w:rsid w:val="002D373B"/>
    <w:rsid w:val="002D7311"/>
    <w:rsid w:val="002D785D"/>
    <w:rsid w:val="002E716E"/>
    <w:rsid w:val="002F1D83"/>
    <w:rsid w:val="003026E6"/>
    <w:rsid w:val="00302AE7"/>
    <w:rsid w:val="00315D8B"/>
    <w:rsid w:val="00331CD8"/>
    <w:rsid w:val="00333CFA"/>
    <w:rsid w:val="00343401"/>
    <w:rsid w:val="00351562"/>
    <w:rsid w:val="003826A5"/>
    <w:rsid w:val="00384BCB"/>
    <w:rsid w:val="003A329E"/>
    <w:rsid w:val="003A69E2"/>
    <w:rsid w:val="003B2DBE"/>
    <w:rsid w:val="003B66CF"/>
    <w:rsid w:val="003C18BD"/>
    <w:rsid w:val="003D25E3"/>
    <w:rsid w:val="003E3FD8"/>
    <w:rsid w:val="004072E2"/>
    <w:rsid w:val="0041103D"/>
    <w:rsid w:val="0041694D"/>
    <w:rsid w:val="00424E9B"/>
    <w:rsid w:val="004325CE"/>
    <w:rsid w:val="00435DED"/>
    <w:rsid w:val="004370BC"/>
    <w:rsid w:val="0044044A"/>
    <w:rsid w:val="00485C30"/>
    <w:rsid w:val="00486A8C"/>
    <w:rsid w:val="004C2108"/>
    <w:rsid w:val="004D649C"/>
    <w:rsid w:val="004D69E0"/>
    <w:rsid w:val="004F7762"/>
    <w:rsid w:val="004F7D7A"/>
    <w:rsid w:val="005005C6"/>
    <w:rsid w:val="00506EA8"/>
    <w:rsid w:val="00513FB5"/>
    <w:rsid w:val="00532133"/>
    <w:rsid w:val="005334A3"/>
    <w:rsid w:val="00533823"/>
    <w:rsid w:val="00537B51"/>
    <w:rsid w:val="005563CD"/>
    <w:rsid w:val="00562B3C"/>
    <w:rsid w:val="00562C1A"/>
    <w:rsid w:val="0057660B"/>
    <w:rsid w:val="005A2F38"/>
    <w:rsid w:val="005E17B8"/>
    <w:rsid w:val="00611132"/>
    <w:rsid w:val="00614823"/>
    <w:rsid w:val="00622C1C"/>
    <w:rsid w:val="00623F54"/>
    <w:rsid w:val="00646A12"/>
    <w:rsid w:val="006501CD"/>
    <w:rsid w:val="0066553A"/>
    <w:rsid w:val="00667B92"/>
    <w:rsid w:val="0067389F"/>
    <w:rsid w:val="00684C20"/>
    <w:rsid w:val="00694E9D"/>
    <w:rsid w:val="006C552A"/>
    <w:rsid w:val="006D70C2"/>
    <w:rsid w:val="006D7843"/>
    <w:rsid w:val="006E44E5"/>
    <w:rsid w:val="006F5524"/>
    <w:rsid w:val="006F69E3"/>
    <w:rsid w:val="006F7066"/>
    <w:rsid w:val="0072392C"/>
    <w:rsid w:val="007263FC"/>
    <w:rsid w:val="00737C68"/>
    <w:rsid w:val="007407D2"/>
    <w:rsid w:val="0076237B"/>
    <w:rsid w:val="007627B5"/>
    <w:rsid w:val="007668D4"/>
    <w:rsid w:val="0076695F"/>
    <w:rsid w:val="00770EE1"/>
    <w:rsid w:val="00776F84"/>
    <w:rsid w:val="0078687E"/>
    <w:rsid w:val="007A164B"/>
    <w:rsid w:val="007A7CB1"/>
    <w:rsid w:val="007B79AF"/>
    <w:rsid w:val="007E397A"/>
    <w:rsid w:val="007F03D9"/>
    <w:rsid w:val="0080720D"/>
    <w:rsid w:val="008122C7"/>
    <w:rsid w:val="00823DB4"/>
    <w:rsid w:val="0083422F"/>
    <w:rsid w:val="0085353E"/>
    <w:rsid w:val="00871E36"/>
    <w:rsid w:val="008809B9"/>
    <w:rsid w:val="00884F2D"/>
    <w:rsid w:val="00896C34"/>
    <w:rsid w:val="008A44F1"/>
    <w:rsid w:val="008B41AD"/>
    <w:rsid w:val="008C71DB"/>
    <w:rsid w:val="008D1A96"/>
    <w:rsid w:val="008D1F94"/>
    <w:rsid w:val="008F6057"/>
    <w:rsid w:val="00904448"/>
    <w:rsid w:val="00915B83"/>
    <w:rsid w:val="0092504F"/>
    <w:rsid w:val="0093472D"/>
    <w:rsid w:val="00956BA6"/>
    <w:rsid w:val="009611B8"/>
    <w:rsid w:val="009625D2"/>
    <w:rsid w:val="00966A40"/>
    <w:rsid w:val="0097789A"/>
    <w:rsid w:val="009814ED"/>
    <w:rsid w:val="0098692E"/>
    <w:rsid w:val="00995BEE"/>
    <w:rsid w:val="009A1A59"/>
    <w:rsid w:val="009A73F9"/>
    <w:rsid w:val="009F255D"/>
    <w:rsid w:val="009F44F6"/>
    <w:rsid w:val="00A045ED"/>
    <w:rsid w:val="00A30628"/>
    <w:rsid w:val="00A5714F"/>
    <w:rsid w:val="00A62D56"/>
    <w:rsid w:val="00A708DA"/>
    <w:rsid w:val="00A749DF"/>
    <w:rsid w:val="00A85044"/>
    <w:rsid w:val="00AE4AED"/>
    <w:rsid w:val="00AE77B3"/>
    <w:rsid w:val="00AF438B"/>
    <w:rsid w:val="00B00DD7"/>
    <w:rsid w:val="00B059EA"/>
    <w:rsid w:val="00B06F7C"/>
    <w:rsid w:val="00B61041"/>
    <w:rsid w:val="00B71151"/>
    <w:rsid w:val="00B7395D"/>
    <w:rsid w:val="00B82498"/>
    <w:rsid w:val="00B82A2C"/>
    <w:rsid w:val="00B97801"/>
    <w:rsid w:val="00BA2953"/>
    <w:rsid w:val="00BB04EA"/>
    <w:rsid w:val="00BB5E73"/>
    <w:rsid w:val="00BF0DB1"/>
    <w:rsid w:val="00BF21A1"/>
    <w:rsid w:val="00C04B7E"/>
    <w:rsid w:val="00C04F1A"/>
    <w:rsid w:val="00C254AD"/>
    <w:rsid w:val="00C322AB"/>
    <w:rsid w:val="00C47A38"/>
    <w:rsid w:val="00C549EB"/>
    <w:rsid w:val="00C569CE"/>
    <w:rsid w:val="00C628D8"/>
    <w:rsid w:val="00C736FC"/>
    <w:rsid w:val="00C83918"/>
    <w:rsid w:val="00C8549E"/>
    <w:rsid w:val="00C93CF2"/>
    <w:rsid w:val="00CA75D4"/>
    <w:rsid w:val="00CB251D"/>
    <w:rsid w:val="00CB47B0"/>
    <w:rsid w:val="00CC1234"/>
    <w:rsid w:val="00CC7CA3"/>
    <w:rsid w:val="00CD0F1B"/>
    <w:rsid w:val="00CE3CEB"/>
    <w:rsid w:val="00CF3873"/>
    <w:rsid w:val="00CF65E7"/>
    <w:rsid w:val="00D27710"/>
    <w:rsid w:val="00D35FE4"/>
    <w:rsid w:val="00D60C8E"/>
    <w:rsid w:val="00D81E85"/>
    <w:rsid w:val="00D82E9C"/>
    <w:rsid w:val="00DA57EE"/>
    <w:rsid w:val="00DB7E0D"/>
    <w:rsid w:val="00DC7BEC"/>
    <w:rsid w:val="00DE547F"/>
    <w:rsid w:val="00DF4153"/>
    <w:rsid w:val="00DF61C8"/>
    <w:rsid w:val="00E0699A"/>
    <w:rsid w:val="00E2486E"/>
    <w:rsid w:val="00E35DA6"/>
    <w:rsid w:val="00E40AB3"/>
    <w:rsid w:val="00E60D45"/>
    <w:rsid w:val="00E71442"/>
    <w:rsid w:val="00E75ADF"/>
    <w:rsid w:val="00E81881"/>
    <w:rsid w:val="00E96108"/>
    <w:rsid w:val="00EA690C"/>
    <w:rsid w:val="00EB24E7"/>
    <w:rsid w:val="00EB4E97"/>
    <w:rsid w:val="00EB5E67"/>
    <w:rsid w:val="00EB77D2"/>
    <w:rsid w:val="00EC5E41"/>
    <w:rsid w:val="00ED7593"/>
    <w:rsid w:val="00F101E5"/>
    <w:rsid w:val="00F23DBD"/>
    <w:rsid w:val="00F26DEC"/>
    <w:rsid w:val="00F4539C"/>
    <w:rsid w:val="00F46957"/>
    <w:rsid w:val="00F56996"/>
    <w:rsid w:val="00F63167"/>
    <w:rsid w:val="00F74E75"/>
    <w:rsid w:val="00F76606"/>
    <w:rsid w:val="00FA0690"/>
    <w:rsid w:val="00FA0D9E"/>
    <w:rsid w:val="00FB14D3"/>
    <w:rsid w:val="00FB6F66"/>
    <w:rsid w:val="00FB7C59"/>
    <w:rsid w:val="00FC420F"/>
    <w:rsid w:val="00FD2396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D4"/>
    <w:pPr>
      <w:spacing w:before="240" w:after="0" w:line="240" w:lineRule="auto"/>
    </w:pPr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4E7"/>
    <w:pPr>
      <w:keepNext/>
      <w:keepLines/>
      <w:tabs>
        <w:tab w:val="left" w:pos="1418"/>
      </w:tabs>
      <w:spacing w:before="480"/>
      <w:outlineLvl w:val="0"/>
    </w:pPr>
    <w:rPr>
      <w:rFonts w:eastAsiaTheme="majorEastAsia" w:cstheme="majorBidi"/>
      <w:b/>
      <w:bCs/>
      <w:color w:val="00376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24E7"/>
    <w:pPr>
      <w:keepNext/>
      <w:keepLines/>
      <w:tabs>
        <w:tab w:val="left" w:pos="1418"/>
      </w:tabs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24E7"/>
    <w:pPr>
      <w:keepNext/>
      <w:keepLines/>
      <w:tabs>
        <w:tab w:val="left" w:pos="1418"/>
      </w:tabs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E7"/>
    <w:rPr>
      <w:rFonts w:eastAsiaTheme="majorEastAsia" w:cstheme="majorBidi"/>
      <w:b/>
      <w:bCs/>
      <w:color w:val="003767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24E7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4E7"/>
    <w:rPr>
      <w:rFonts w:eastAsiaTheme="majorEastAsia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24E7"/>
    <w:pPr>
      <w:spacing w:before="0"/>
      <w:contextualSpacing/>
    </w:pPr>
    <w:rPr>
      <w:rFonts w:eastAsiaTheme="majorEastAsia" w:cstheme="majorBidi"/>
      <w:b/>
      <w:color w:val="003767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4E7"/>
    <w:rPr>
      <w:rFonts w:eastAsiaTheme="majorEastAsia" w:cstheme="majorBidi"/>
      <w:b/>
      <w:color w:val="003767"/>
      <w:spacing w:val="5"/>
      <w:kern w:val="28"/>
      <w:sz w:val="40"/>
      <w:szCs w:val="52"/>
    </w:rPr>
  </w:style>
  <w:style w:type="character" w:styleId="Emphasis">
    <w:name w:val="Emphasis"/>
    <w:basedOn w:val="DefaultParagraphFont"/>
    <w:uiPriority w:val="20"/>
    <w:qFormat/>
    <w:rsid w:val="00871E36"/>
    <w:rPr>
      <w:b/>
      <w:iCs/>
      <w:color w:val="003767"/>
    </w:rPr>
  </w:style>
  <w:style w:type="paragraph" w:styleId="Quote">
    <w:name w:val="Quote"/>
    <w:basedOn w:val="Normal"/>
    <w:next w:val="Normal"/>
    <w:link w:val="QuoteChar"/>
    <w:uiPriority w:val="29"/>
    <w:qFormat/>
    <w:rsid w:val="00EB24E7"/>
    <w:pPr>
      <w:ind w:left="284" w:right="284"/>
    </w:pPr>
    <w:rPr>
      <w:iCs/>
      <w:color w:val="003767"/>
    </w:rPr>
  </w:style>
  <w:style w:type="character" w:customStyle="1" w:styleId="QuoteChar">
    <w:name w:val="Quote Char"/>
    <w:basedOn w:val="DefaultParagraphFont"/>
    <w:link w:val="Quote"/>
    <w:uiPriority w:val="29"/>
    <w:rsid w:val="00EB24E7"/>
    <w:rPr>
      <w:iCs/>
      <w:color w:val="003767"/>
      <w:sz w:val="24"/>
    </w:rPr>
  </w:style>
  <w:style w:type="paragraph" w:styleId="ListBullet2">
    <w:name w:val="List Bullet 2"/>
    <w:basedOn w:val="Normal"/>
    <w:uiPriority w:val="99"/>
    <w:qFormat/>
    <w:rsid w:val="00EB24E7"/>
    <w:pPr>
      <w:numPr>
        <w:numId w:val="2"/>
      </w:numPr>
      <w:tabs>
        <w:tab w:val="clear" w:pos="643"/>
      </w:tabs>
      <w:spacing w:before="0" w:after="240"/>
      <w:ind w:left="568" w:hanging="284"/>
    </w:pPr>
  </w:style>
  <w:style w:type="paragraph" w:styleId="ListBullet">
    <w:name w:val="List Bullet"/>
    <w:basedOn w:val="Normal"/>
    <w:uiPriority w:val="99"/>
    <w:qFormat/>
    <w:rsid w:val="00EB24E7"/>
    <w:pPr>
      <w:numPr>
        <w:numId w:val="1"/>
      </w:numPr>
      <w:spacing w:before="120"/>
      <w:ind w:left="284" w:hanging="284"/>
    </w:pPr>
  </w:style>
  <w:style w:type="paragraph" w:styleId="NoSpacing">
    <w:name w:val="No Spacing"/>
    <w:basedOn w:val="Normal"/>
    <w:uiPriority w:val="1"/>
    <w:qFormat/>
    <w:rsid w:val="00EB24E7"/>
    <w:pPr>
      <w:spacing w:before="0"/>
    </w:pPr>
  </w:style>
  <w:style w:type="paragraph" w:customStyle="1" w:styleId="Quotereference">
    <w:name w:val="Quote reference"/>
    <w:basedOn w:val="Normal"/>
    <w:qFormat/>
    <w:rsid w:val="00EB24E7"/>
    <w:pPr>
      <w:spacing w:before="0"/>
      <w:jc w:val="right"/>
    </w:pPr>
  </w:style>
  <w:style w:type="character" w:styleId="Hyperlink">
    <w:name w:val="Hyperlink"/>
    <w:uiPriority w:val="99"/>
    <w:qFormat/>
    <w:rsid w:val="00EB24E7"/>
    <w:rPr>
      <w:color w:val="003767"/>
      <w:u w:val="single"/>
    </w:rPr>
  </w:style>
  <w:style w:type="table" w:styleId="TableGrid">
    <w:name w:val="Table Grid"/>
    <w:basedOn w:val="TableNormal"/>
    <w:uiPriority w:val="59"/>
    <w:rsid w:val="00871E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mphasis2">
    <w:name w:val="Emphasis 2"/>
    <w:basedOn w:val="Normal"/>
    <w:qFormat/>
    <w:rsid w:val="00EB24E7"/>
    <w:rPr>
      <w:b/>
      <w:iCs/>
      <w:color w:val="00376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D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D4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1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15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153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486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2486E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2486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2486E"/>
    <w:rPr>
      <w:rFonts w:ascii="Calibri" w:eastAsia="Calibri" w:hAnsi="Calibri" w:cs="Times New Roman"/>
      <w:sz w:val="24"/>
    </w:rPr>
  </w:style>
  <w:style w:type="paragraph" w:customStyle="1" w:styleId="Pa3">
    <w:name w:val="Pa3"/>
    <w:basedOn w:val="Normal"/>
    <w:next w:val="Normal"/>
    <w:uiPriority w:val="99"/>
    <w:rsid w:val="008B41AD"/>
    <w:pPr>
      <w:autoSpaceDE w:val="0"/>
      <w:autoSpaceDN w:val="0"/>
      <w:adjustRightInd w:val="0"/>
      <w:spacing w:before="0" w:line="241" w:lineRule="atLeast"/>
    </w:pPr>
    <w:rPr>
      <w:rFonts w:ascii="Myriad Pro Light" w:eastAsiaTheme="minorHAnsi" w:hAnsi="Myriad Pro Light" w:cstheme="minorBidi"/>
      <w:szCs w:val="24"/>
    </w:rPr>
  </w:style>
  <w:style w:type="paragraph" w:styleId="ListParagraph">
    <w:name w:val="List Paragraph"/>
    <w:basedOn w:val="Normal"/>
    <w:uiPriority w:val="34"/>
    <w:qFormat/>
    <w:rsid w:val="00FF2A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09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D4"/>
    <w:pPr>
      <w:spacing w:before="240" w:after="0" w:line="240" w:lineRule="auto"/>
    </w:pPr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4E7"/>
    <w:pPr>
      <w:keepNext/>
      <w:keepLines/>
      <w:tabs>
        <w:tab w:val="left" w:pos="1418"/>
      </w:tabs>
      <w:spacing w:before="480"/>
      <w:outlineLvl w:val="0"/>
    </w:pPr>
    <w:rPr>
      <w:rFonts w:eastAsiaTheme="majorEastAsia" w:cstheme="majorBidi"/>
      <w:b/>
      <w:bCs/>
      <w:color w:val="00376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24E7"/>
    <w:pPr>
      <w:keepNext/>
      <w:keepLines/>
      <w:tabs>
        <w:tab w:val="left" w:pos="1418"/>
      </w:tabs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24E7"/>
    <w:pPr>
      <w:keepNext/>
      <w:keepLines/>
      <w:tabs>
        <w:tab w:val="left" w:pos="1418"/>
      </w:tabs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E7"/>
    <w:rPr>
      <w:rFonts w:eastAsiaTheme="majorEastAsia" w:cstheme="majorBidi"/>
      <w:b/>
      <w:bCs/>
      <w:color w:val="003767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24E7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4E7"/>
    <w:rPr>
      <w:rFonts w:eastAsiaTheme="majorEastAsia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24E7"/>
    <w:pPr>
      <w:spacing w:before="0"/>
      <w:contextualSpacing/>
    </w:pPr>
    <w:rPr>
      <w:rFonts w:eastAsiaTheme="majorEastAsia" w:cstheme="majorBidi"/>
      <w:b/>
      <w:color w:val="003767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4E7"/>
    <w:rPr>
      <w:rFonts w:eastAsiaTheme="majorEastAsia" w:cstheme="majorBidi"/>
      <w:b/>
      <w:color w:val="003767"/>
      <w:spacing w:val="5"/>
      <w:kern w:val="28"/>
      <w:sz w:val="40"/>
      <w:szCs w:val="52"/>
    </w:rPr>
  </w:style>
  <w:style w:type="character" w:styleId="Emphasis">
    <w:name w:val="Emphasis"/>
    <w:basedOn w:val="DefaultParagraphFont"/>
    <w:uiPriority w:val="20"/>
    <w:qFormat/>
    <w:rsid w:val="00871E36"/>
    <w:rPr>
      <w:b/>
      <w:iCs/>
      <w:color w:val="003767"/>
    </w:rPr>
  </w:style>
  <w:style w:type="paragraph" w:styleId="Quote">
    <w:name w:val="Quote"/>
    <w:basedOn w:val="Normal"/>
    <w:next w:val="Normal"/>
    <w:link w:val="QuoteChar"/>
    <w:uiPriority w:val="29"/>
    <w:qFormat/>
    <w:rsid w:val="00EB24E7"/>
    <w:pPr>
      <w:ind w:left="284" w:right="284"/>
    </w:pPr>
    <w:rPr>
      <w:iCs/>
      <w:color w:val="003767"/>
    </w:rPr>
  </w:style>
  <w:style w:type="character" w:customStyle="1" w:styleId="QuoteChar">
    <w:name w:val="Quote Char"/>
    <w:basedOn w:val="DefaultParagraphFont"/>
    <w:link w:val="Quote"/>
    <w:uiPriority w:val="29"/>
    <w:rsid w:val="00EB24E7"/>
    <w:rPr>
      <w:iCs/>
      <w:color w:val="003767"/>
      <w:sz w:val="24"/>
    </w:rPr>
  </w:style>
  <w:style w:type="paragraph" w:styleId="ListBullet2">
    <w:name w:val="List Bullet 2"/>
    <w:basedOn w:val="Normal"/>
    <w:uiPriority w:val="99"/>
    <w:qFormat/>
    <w:rsid w:val="00EB24E7"/>
    <w:pPr>
      <w:numPr>
        <w:numId w:val="2"/>
      </w:numPr>
      <w:tabs>
        <w:tab w:val="clear" w:pos="643"/>
      </w:tabs>
      <w:spacing w:before="0" w:after="240"/>
      <w:ind w:left="568" w:hanging="284"/>
    </w:pPr>
  </w:style>
  <w:style w:type="paragraph" w:styleId="ListBullet">
    <w:name w:val="List Bullet"/>
    <w:basedOn w:val="Normal"/>
    <w:uiPriority w:val="99"/>
    <w:qFormat/>
    <w:rsid w:val="00EB24E7"/>
    <w:pPr>
      <w:numPr>
        <w:numId w:val="1"/>
      </w:numPr>
      <w:spacing w:before="120"/>
      <w:ind w:left="284" w:hanging="284"/>
    </w:pPr>
  </w:style>
  <w:style w:type="paragraph" w:styleId="NoSpacing">
    <w:name w:val="No Spacing"/>
    <w:basedOn w:val="Normal"/>
    <w:uiPriority w:val="1"/>
    <w:qFormat/>
    <w:rsid w:val="00EB24E7"/>
    <w:pPr>
      <w:spacing w:before="0"/>
    </w:pPr>
  </w:style>
  <w:style w:type="paragraph" w:customStyle="1" w:styleId="Quotereference">
    <w:name w:val="Quote reference"/>
    <w:basedOn w:val="Normal"/>
    <w:qFormat/>
    <w:rsid w:val="00EB24E7"/>
    <w:pPr>
      <w:spacing w:before="0"/>
      <w:jc w:val="right"/>
    </w:pPr>
  </w:style>
  <w:style w:type="character" w:styleId="Hyperlink">
    <w:name w:val="Hyperlink"/>
    <w:uiPriority w:val="99"/>
    <w:qFormat/>
    <w:rsid w:val="00EB24E7"/>
    <w:rPr>
      <w:color w:val="003767"/>
      <w:u w:val="single"/>
    </w:rPr>
  </w:style>
  <w:style w:type="table" w:styleId="TableGrid">
    <w:name w:val="Table Grid"/>
    <w:basedOn w:val="TableNormal"/>
    <w:uiPriority w:val="59"/>
    <w:rsid w:val="00871E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mphasis2">
    <w:name w:val="Emphasis 2"/>
    <w:basedOn w:val="Normal"/>
    <w:qFormat/>
    <w:rsid w:val="00EB24E7"/>
    <w:rPr>
      <w:b/>
      <w:iCs/>
      <w:color w:val="00376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D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D4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1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15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153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486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2486E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2486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2486E"/>
    <w:rPr>
      <w:rFonts w:ascii="Calibri" w:eastAsia="Calibri" w:hAnsi="Calibri" w:cs="Times New Roman"/>
      <w:sz w:val="24"/>
    </w:rPr>
  </w:style>
  <w:style w:type="paragraph" w:customStyle="1" w:styleId="Pa3">
    <w:name w:val="Pa3"/>
    <w:basedOn w:val="Normal"/>
    <w:next w:val="Normal"/>
    <w:uiPriority w:val="99"/>
    <w:rsid w:val="008B41AD"/>
    <w:pPr>
      <w:autoSpaceDE w:val="0"/>
      <w:autoSpaceDN w:val="0"/>
      <w:adjustRightInd w:val="0"/>
      <w:spacing w:before="0" w:line="241" w:lineRule="atLeast"/>
    </w:pPr>
    <w:rPr>
      <w:rFonts w:ascii="Myriad Pro Light" w:eastAsiaTheme="minorHAnsi" w:hAnsi="Myriad Pro Light" w:cstheme="minorBidi"/>
      <w:szCs w:val="24"/>
    </w:rPr>
  </w:style>
  <w:style w:type="paragraph" w:styleId="ListParagraph">
    <w:name w:val="List Paragraph"/>
    <w:basedOn w:val="Normal"/>
    <w:uiPriority w:val="34"/>
    <w:qFormat/>
    <w:rsid w:val="00FF2A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0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72F58-F255-49FC-9C8D-D80E10EC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annar</dc:creator>
  <cp:lastModifiedBy>Anna Roberts</cp:lastModifiedBy>
  <cp:revision>3</cp:revision>
  <cp:lastPrinted>2014-09-24T14:35:00Z</cp:lastPrinted>
  <dcterms:created xsi:type="dcterms:W3CDTF">2014-09-24T18:12:00Z</dcterms:created>
  <dcterms:modified xsi:type="dcterms:W3CDTF">2014-09-24T18:16:00Z</dcterms:modified>
</cp:coreProperties>
</file>