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F3864"/>
          <w:sz w:val="56"/>
          <w:szCs w:val="56"/>
        </w:rPr>
        <w:t xml:space="preserve">REVISION PLAN</w:t>
      </w:r>
    </w:p>
    <w:p>
      <w:pPr>
        <w:spacing w:after="200"/>
        <w:jc w:val="center"/>
      </w:pPr>
      <w:r>
        <w:rPr>
          <w:rFonts w:ascii="Arial" w:cs="Arial" w:eastAsia="Arial" w:hAnsi="Arial"/>
          <w:i/>
          <w:iCs/>
          <w:color w:val="2E75B6"/>
          <w:sz w:val="40"/>
          <w:szCs w:val="40"/>
        </w:rPr>
        <w:t xml:space="preserve">The Manual of Harmonious Rationality</w:t>
      </w:r>
    </w:p>
    <w:p>
      <w:pPr>
        <w:spacing w:after="120"/>
        <w:jc w:val="center"/>
      </w:pPr>
      <w:r>
        <w:rPr>
          <w:rFonts w:ascii="Arial" w:cs="Arial" w:eastAsia="Arial" w:hAnsi="Arial"/>
          <w:color w:val="404040"/>
          <w:sz w:val="26"/>
          <w:szCs w:val="26"/>
        </w:rPr>
        <w:t xml:space="preserve">Second Edition: From Defensible Framework to Dominant Moral System</w:t>
      </w:r>
    </w:p>
    <w:p>
      <w:pPr>
        <w:pBdr>
          <w:bottom w:val="single" w:color="2E75B6" w:sz="6" w:space="1"/>
        </w:pBdr>
        <w:spacing w:after="200" w:before="200"/>
      </w:pPr>
    </w:p>
    <w:p>
      <w:pPr>
        <w:spacing w:after="80"/>
        <w:jc w:val="center"/>
      </w:pPr>
      <w:r>
        <w:rPr>
          <w:rFonts w:ascii="Arial" w:cs="Arial" w:eastAsia="Arial" w:hAnsi="Arial"/>
          <w:color w:val="666666"/>
          <w:sz w:val="22"/>
          <w:szCs w:val="22"/>
        </w:rPr>
        <w:t xml:space="preserve">Based on Critical Analysis • April 2026</w:t>
      </w:r>
    </w:p>
    <w:p>
      <w:pPr>
        <w:spacing w:after="2000"/>
        <w:jc w:val="center"/>
      </w:pPr>
      <w:r>
        <w:rPr>
          <w:rFonts w:ascii="Arial" w:cs="Arial" w:eastAsia="Arial" w:hAnsi="Arial"/>
          <w:color w:val="666666"/>
          <w:sz w:val="22"/>
          <w:szCs w:val="22"/>
        </w:rPr>
        <w:t xml:space="preserve">Prepared for Brennan</w:t>
      </w:r>
    </w:p>
    <w:p>
      <w:r>
        <w:br w:type="page"/>
      </w:r>
    </w:p>
    <w:p>
      <w:pPr>
        <w:pStyle w:val="Heading1"/>
        <w:spacing w:after="160" w:before="360"/>
      </w:pPr>
      <w:r>
        <w:rPr>
          <w:rFonts w:ascii="Arial" w:cs="Arial" w:eastAsia="Arial" w:hAnsi="Arial"/>
          <w:b/>
          <w:bCs/>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sz w:val="36"/>
          <w:szCs w:val="36"/>
        </w:rPr>
        <w:t xml:space="preserve">Part I: Executive Summary</w:t>
      </w:r>
    </w:p>
    <w:p>
      <w:pPr>
        <w:spacing w:after="120" w:line="276"/>
      </w:pPr>
      <w:r>
        <w:rPr>
          <w:rFonts w:ascii="Arial" w:cs="Arial" w:eastAsia="Arial" w:hAnsi="Arial"/>
          <w:sz w:val="24"/>
          <w:szCs w:val="24"/>
        </w:rPr>
        <w:t xml:space="preserve">This revision plan transforms The Manual of Harmonious Rationality from a strong first-edition framework into a system designed to withstand any philosophical opponent, generate actionable political and economic policy across the ideological spectrum, and function as the most comprehensive moral system available. The plan is organized into six parts: foundational repairs, new chapters and sections, ideology stress-tests, game theory integration, LessWrong/rationalist upgrades, and an implementation timeline.</w:t>
      </w:r>
    </w:p>
    <w:p>
      <w:pPr>
        <w:spacing w:after="120" w:line="276"/>
      </w:pPr>
      <w:r>
        <w:rPr>
          <w:rFonts w:ascii="Arial" w:cs="Arial" w:eastAsia="Arial" w:hAnsi="Arial"/>
          <w:b/>
          <w:bCs/>
          <w:sz w:val="24"/>
          <w:szCs w:val="24"/>
        </w:rPr>
        <w:t xml:space="preserve">Core Diagnosis from the Review: </w:t>
      </w:r>
      <w:r>
        <w:rPr>
          <w:rFonts w:ascii="Arial" w:cs="Arial" w:eastAsia="Arial" w:hAnsi="Arial"/>
          <w:sz w:val="24"/>
          <w:szCs w:val="24"/>
        </w:rPr>
        <w:t xml:space="preserve">The first edition is philosophically ambitious and structurally innovative, but it has five vulnerabilities that must be closed before the system can claim dominance: (1) the valence axiom doesn’t reach as far as claimed, (2) the Mode A/B architecture has an unresolved mode-switching regress, (3) game theory distorts important moral phenomena, (4) the Position Registry lacks formal rigor, and (5) the synthesis methodology contradicts MacIntyre’s own argument. Additionally, the system underweights care ethics, non-Western traditions, and the “binding” moral foundations (loyalty, authority, sanctity) that drive conservative moral reasoning.</w:t>
      </w:r>
    </w:p>
    <w:p>
      <w:pPr>
        <w:spacing w:after="120" w:line="276"/>
      </w:pPr>
      <w:r>
        <w:rPr>
          <w:rFonts w:ascii="Arial" w:cs="Arial" w:eastAsia="Arial" w:hAnsi="Arial"/>
          <w:b/>
          <w:bCs/>
          <w:sz w:val="24"/>
          <w:szCs w:val="24"/>
        </w:rPr>
        <w:t xml:space="preserve">Goal of Revision: </w:t>
      </w:r>
      <w:r>
        <w:rPr>
          <w:rFonts w:ascii="Arial" w:cs="Arial" w:eastAsia="Arial" w:hAnsi="Arial"/>
          <w:sz w:val="24"/>
          <w:szCs w:val="24"/>
        </w:rPr>
        <w:t xml:space="preserve">A second edition that can (a) defeat any rival moral system in formal debate, (b) generate specific policy positions that outperform libertarian, Republican, Democratic, and far-left alternatives on their own terms, (c) incorporate the best ideas from the LessWrong/rationalist canon, and (d) include comprehensive coverage of the game-theoretic structures present in real political and economic systems.</w:t>
      </w:r>
    </w:p>
    <w:p>
      <w:r>
        <w:br w:type="page"/>
      </w:r>
    </w:p>
    <w:p>
      <w:pPr>
        <w:pStyle w:val="Heading1"/>
        <w:spacing w:after="160" w:before="360"/>
      </w:pPr>
      <w:r>
        <w:rPr>
          <w:rFonts w:ascii="Arial" w:cs="Arial" w:eastAsia="Arial" w:hAnsi="Arial"/>
          <w:b/>
          <w:bCs/>
          <w:sz w:val="36"/>
          <w:szCs w:val="36"/>
        </w:rPr>
        <w:t xml:space="preserve">Part II: Foundational Repairs</w:t>
      </w:r>
    </w:p>
    <w:p>
      <w:pPr>
        <w:spacing w:after="120" w:line="276"/>
      </w:pPr>
      <w:r>
        <w:rPr>
          <w:rFonts w:ascii="Arial" w:cs="Arial" w:eastAsia="Arial" w:hAnsi="Arial"/>
          <w:sz w:val="24"/>
          <w:szCs w:val="24"/>
        </w:rPr>
        <w:t xml:space="preserve">These are changes to existing chapters that close the vulnerabilities identified in the critical review. Each repair is keyed to a specific chapter.</w:t>
      </w:r>
    </w:p>
    <w:p>
      <w:pPr>
        <w:pStyle w:val="Heading2"/>
        <w:spacing w:after="160" w:before="240"/>
      </w:pPr>
      <w:r>
        <w:rPr>
          <w:rFonts w:ascii="Arial" w:cs="Arial" w:eastAsia="Arial" w:hAnsi="Arial"/>
          <w:b/>
          <w:bCs/>
          <w:sz w:val="30"/>
          <w:szCs w:val="30"/>
        </w:rPr>
        <w:t xml:space="preserve">Repair 1: Strengthen the Axiom (Chapter 3)</w:t>
      </w:r>
    </w:p>
    <w:p>
      <w:pPr>
        <w:spacing w:after="120" w:line="276"/>
      </w:pPr>
      <w:r>
        <w:rPr>
          <w:rFonts w:ascii="Arial" w:cs="Arial" w:eastAsia="Arial" w:hAnsi="Arial"/>
          <w:b/>
          <w:bCs/>
          <w:sz w:val="24"/>
          <w:szCs w:val="24"/>
        </w:rPr>
        <w:t xml:space="preserve">Problem: </w:t>
      </w:r>
      <w:r>
        <w:rPr>
          <w:rFonts w:ascii="Arial" w:cs="Arial" w:eastAsia="Arial" w:hAnsi="Arial"/>
          <w:sz w:val="24"/>
          <w:szCs w:val="24"/>
        </w:rPr>
        <w:t xml:space="preserve">The performative incoherence argument doesn’t reach error theorists (Mackie, Joyce), eliminativists about consciousness (Churchland), or the gap between discourse norms and substantive moral claims.</w:t>
      </w:r>
    </w:p>
    <w:p>
      <w:pPr>
        <w:spacing w:after="120" w:line="276"/>
      </w:pPr>
      <w:r>
        <w:rPr>
          <w:rFonts w:ascii="Arial" w:cs="Arial" w:eastAsia="Arial" w:hAnsi="Arial"/>
          <w:b/>
          <w:bCs/>
          <w:sz w:val="24"/>
          <w:szCs w:val="24"/>
        </w:rPr>
        <w:t xml:space="preserve">Fix: </w:t>
      </w:r>
      <w:r>
        <w:rPr>
          <w:rFonts w:ascii="Arial" w:cs="Arial" w:eastAsia="Arial" w:hAnsi="Arial"/>
          <w:sz w:val="24"/>
          <w:szCs w:val="24"/>
        </w:rPr>
        <w:t xml:space="preserve">Replace the single-argument defense with a three-layered grounding strategy:</w:t>
      </w:r>
    </w:p>
    <w:p>
      <w:pPr>
        <w:pStyle w:val="ListParagraph"/>
        <w:numPr>
          <w:ilvl w:val="0"/>
          <w:numId w:val="2"/>
        </w:numPr>
        <w:spacing w:after="80" w:line="276"/>
      </w:pPr>
      <w:r>
        <w:rPr>
          <w:rFonts w:ascii="Arial" w:cs="Arial" w:eastAsia="Arial" w:hAnsi="Arial"/>
          <w:b/>
          <w:bCs/>
          <w:sz w:val="24"/>
          <w:szCs w:val="24"/>
        </w:rPr>
        <w:t xml:space="preserve">Reflective Equilibrium (primary). </w:t>
      </w:r>
      <w:r>
        <w:rPr>
          <w:rFonts w:ascii="Arial" w:cs="Arial" w:eastAsia="Arial" w:hAnsi="Arial"/>
          <w:sz w:val="24"/>
          <w:szCs w:val="24"/>
        </w:rPr>
        <w:t xml:space="preserve">Adopt a Rawlsian wide reflective equilibrium as the main grounding method. Moral principles and particular moral judgments are mutually adjusted until maximal coherence is achieved. This distributes the justificatory burden across the entire system rather than concentrating it on one argument. The axiom becomes one node in a web of mutually supporting claims, not a single load-bearing pillar.</w:t>
      </w:r>
    </w:p>
    <w:p>
      <w:pPr>
        <w:pStyle w:val="ListParagraph"/>
        <w:numPr>
          <w:ilvl w:val="0"/>
          <w:numId w:val="2"/>
        </w:numPr>
        <w:spacing w:after="80" w:line="276"/>
      </w:pPr>
      <w:r>
        <w:rPr>
          <w:rFonts w:ascii="Arial" w:cs="Arial" w:eastAsia="Arial" w:hAnsi="Arial"/>
          <w:b/>
          <w:bCs/>
          <w:sz w:val="24"/>
          <w:szCs w:val="24"/>
        </w:rPr>
        <w:t xml:space="preserve">Performative Incoherence (secondary). </w:t>
      </w:r>
      <w:r>
        <w:rPr>
          <w:rFonts w:ascii="Arial" w:cs="Arial" w:eastAsia="Arial" w:hAnsi="Arial"/>
          <w:sz w:val="24"/>
          <w:szCs w:val="24"/>
        </w:rPr>
        <w:t xml:space="preserve">Retain this as a supporting argument. The tortured philosopher who denies suffering matters still provides powerful evidence. But acknowledge explicitly that this is a pragmatic argument, not a logical proof, and that it doesn’t reach all skeptics.</w:t>
      </w:r>
    </w:p>
    <w:p>
      <w:pPr>
        <w:pStyle w:val="ListParagraph"/>
        <w:numPr>
          <w:ilvl w:val="0"/>
          <w:numId w:val="2"/>
        </w:numPr>
        <w:spacing w:after="80" w:line="276"/>
      </w:pPr>
      <w:r>
        <w:rPr>
          <w:rFonts w:ascii="Arial" w:cs="Arial" w:eastAsia="Arial" w:hAnsi="Arial"/>
          <w:b/>
          <w:bCs/>
          <w:sz w:val="24"/>
          <w:szCs w:val="24"/>
        </w:rPr>
        <w:t xml:space="preserve">Inference to Best Explanation (tertiary). </w:t>
      </w:r>
      <w:r>
        <w:rPr>
          <w:rFonts w:ascii="Arial" w:cs="Arial" w:eastAsia="Arial" w:hAnsi="Arial"/>
          <w:sz w:val="24"/>
          <w:szCs w:val="24"/>
        </w:rPr>
        <w:t xml:space="preserve">Add a new section arguing that “suffering matters” is the best explanation for a cluster of facts: universal human moral practices, the convergence of independent moral traditions on harm-avoidance, the neurological reality of pain, and the impossibility of constructing a stable moral system without it. This is an abductive argument—not deductive—and should be labeled as such.</w:t>
      </w:r>
    </w:p>
    <w:p>
      <w:pPr>
        <w:spacing w:after="120" w:line="276"/>
      </w:pPr>
      <w:r>
        <w:rPr>
          <w:rFonts w:ascii="Arial" w:cs="Arial" w:eastAsia="Arial" w:hAnsi="Arial"/>
          <w:b/>
          <w:bCs/>
          <w:sz w:val="24"/>
          <w:szCs w:val="24"/>
        </w:rPr>
        <w:t xml:space="preserve">New content needed: </w:t>
      </w:r>
      <w:r>
        <w:rPr>
          <w:rFonts w:ascii="Arial" w:cs="Arial" w:eastAsia="Arial" w:hAnsi="Arial"/>
          <w:sz w:val="24"/>
          <w:szCs w:val="24"/>
        </w:rPr>
        <w:t xml:space="preserve">Approximately 3,000–4,000 words of new material in Chapter 3, plus a new section header “The Three-Layered Grounding.” Existing performative incoherence material is retained but repositioned as Layer 2.</w:t>
      </w:r>
    </w:p>
    <w:p>
      <w:pPr>
        <w:pStyle w:val="Heading2"/>
        <w:spacing w:after="160" w:before="240"/>
      </w:pPr>
      <w:r>
        <w:rPr>
          <w:rFonts w:ascii="Arial" w:cs="Arial" w:eastAsia="Arial" w:hAnsi="Arial"/>
          <w:b/>
          <w:bCs/>
          <w:sz w:val="30"/>
          <w:szCs w:val="30"/>
        </w:rPr>
        <w:t xml:space="preserve">Repair 2: Resolve the Mode-Switching Regress (Chapter 10)</w:t>
      </w:r>
    </w:p>
    <w:p>
      <w:pPr>
        <w:spacing w:after="120" w:line="276"/>
      </w:pPr>
      <w:r>
        <w:rPr>
          <w:rFonts w:ascii="Arial" w:cs="Arial" w:eastAsia="Arial" w:hAnsi="Arial"/>
          <w:b/>
          <w:bCs/>
          <w:sz w:val="24"/>
          <w:szCs w:val="24"/>
        </w:rPr>
        <w:t xml:space="preserve">Problem: </w:t>
      </w:r>
      <w:r>
        <w:rPr>
          <w:rFonts w:ascii="Arial" w:cs="Arial" w:eastAsia="Arial" w:hAnsi="Arial"/>
          <w:sz w:val="24"/>
          <w:szCs w:val="24"/>
        </w:rPr>
        <w:t xml:space="preserve">Who decides when Mode B conditions are met? This requires a meta-decision procedure, creating an infinite regress.</w:t>
      </w:r>
    </w:p>
    <w:p>
      <w:pPr>
        <w:spacing w:after="120" w:line="276"/>
      </w:pPr>
      <w:r>
        <w:rPr>
          <w:rFonts w:ascii="Arial" w:cs="Arial" w:eastAsia="Arial" w:hAnsi="Arial"/>
          <w:b/>
          <w:bCs/>
          <w:sz w:val="24"/>
          <w:szCs w:val="24"/>
        </w:rPr>
        <w:t xml:space="preserve">Fix: </w:t>
      </w:r>
      <w:r>
        <w:rPr>
          <w:rFonts w:ascii="Arial" w:cs="Arial" w:eastAsia="Arial" w:hAnsi="Arial"/>
          <w:sz w:val="24"/>
          <w:szCs w:val="24"/>
        </w:rPr>
        <w:t xml:space="preserve">Add a formal “Gating Protocol” section to Chapter 10:</w:t>
      </w:r>
    </w:p>
    <w:p>
      <w:pPr>
        <w:pStyle w:val="ListParagraph"/>
        <w:numPr>
          <w:ilvl w:val="0"/>
          <w:numId w:val="3"/>
        </w:numPr>
        <w:spacing w:after="80" w:line="276"/>
      </w:pPr>
      <w:r>
        <w:rPr>
          <w:rFonts w:ascii="Arial" w:cs="Arial" w:eastAsia="Arial" w:hAnsi="Arial"/>
          <w:b/>
          <w:bCs/>
          <w:sz w:val="24"/>
          <w:szCs w:val="24"/>
        </w:rPr>
        <w:t xml:space="preserve">Bright-line triggers. </w:t>
      </w:r>
      <w:r>
        <w:rPr>
          <w:rFonts w:ascii="Arial" w:cs="Arial" w:eastAsia="Arial" w:hAnsi="Arial"/>
          <w:sz w:val="24"/>
          <w:szCs w:val="24"/>
        </w:rPr>
        <w:t xml:space="preserve">Specify three categories of situations that automatically activate Mode B consideration: (a) imminent large-scale loss of life, (b) irreversible systemic damage, (c) institutional capture that disables normal error-correction. These are not sufficient conditions for Mode B—they are necessary conditions for even considering the switch.</w:t>
      </w:r>
    </w:p>
    <w:p>
      <w:pPr>
        <w:pStyle w:val="ListParagraph"/>
        <w:numPr>
          <w:ilvl w:val="0"/>
          <w:numId w:val="3"/>
        </w:numPr>
        <w:spacing w:after="80" w:line="276"/>
      </w:pPr>
      <w:r>
        <w:rPr>
          <w:rFonts w:ascii="Arial" w:cs="Arial" w:eastAsia="Arial" w:hAnsi="Arial"/>
          <w:b/>
          <w:bCs/>
          <w:sz w:val="24"/>
          <w:szCs w:val="24"/>
        </w:rPr>
        <w:t xml:space="preserve">Skeptical Third Party test (formalized). </w:t>
      </w:r>
      <w:r>
        <w:rPr>
          <w:rFonts w:ascii="Arial" w:cs="Arial" w:eastAsia="Arial" w:hAnsi="Arial"/>
          <w:sz w:val="24"/>
          <w:szCs w:val="24"/>
        </w:rPr>
        <w:t xml:space="preserve">The agent must be able to articulate the case for Mode B to a hypothetical skeptical third party—someone intelligent, well-informed, and predisposed to rule-following—and predict that this person would agree the override is warranted. Import the concept of the “Reasonable Reviewer” from Yudkowsky’s work on AI alignment: if you can’t explain your deviation from the rules in a way that a reasonable reviewer would endorse, you haven’t met the bar.</w:t>
      </w:r>
    </w:p>
    <w:p>
      <w:pPr>
        <w:pStyle w:val="ListParagraph"/>
        <w:numPr>
          <w:ilvl w:val="0"/>
          <w:numId w:val="3"/>
        </w:numPr>
        <w:spacing w:after="80" w:line="276"/>
      </w:pPr>
      <w:r>
        <w:rPr>
          <w:rFonts w:ascii="Arial" w:cs="Arial" w:eastAsia="Arial" w:hAnsi="Arial"/>
          <w:b/>
          <w:bCs/>
          <w:sz w:val="24"/>
          <w:szCs w:val="24"/>
        </w:rPr>
        <w:t xml:space="preserve">Time-delay requirement. </w:t>
      </w:r>
      <w:r>
        <w:rPr>
          <w:rFonts w:ascii="Arial" w:cs="Arial" w:eastAsia="Arial" w:hAnsi="Arial"/>
          <w:sz w:val="24"/>
          <w:szCs w:val="24"/>
        </w:rPr>
        <w:t xml:space="preserve">Except in cases of imminent physical danger, Mode B activation requires a mandatory deliberation period (minimum 24 hours for personal decisions, longer for institutional ones). This counters the known failure mode where emotional urgency mimics genuine crisis.</w:t>
      </w:r>
    </w:p>
    <w:p>
      <w:pPr>
        <w:pStyle w:val="ListParagraph"/>
        <w:numPr>
          <w:ilvl w:val="0"/>
          <w:numId w:val="3"/>
        </w:numPr>
        <w:spacing w:after="80" w:line="276"/>
      </w:pPr>
      <w:r>
        <w:rPr>
          <w:rFonts w:ascii="Arial" w:cs="Arial" w:eastAsia="Arial" w:hAnsi="Arial"/>
          <w:b/>
          <w:bCs/>
          <w:sz w:val="24"/>
          <w:szCs w:val="24"/>
        </w:rPr>
        <w:t xml:space="preserve">Post-hoc review. </w:t>
      </w:r>
      <w:r>
        <w:rPr>
          <w:rFonts w:ascii="Arial" w:cs="Arial" w:eastAsia="Arial" w:hAnsi="Arial"/>
          <w:sz w:val="24"/>
          <w:szCs w:val="24"/>
        </w:rPr>
        <w:t xml:space="preserve">Every Mode B activation must be documented and subjected to retrospective analysis. If the agent consistently invokes Mode B in a pattern, this is evidence of either genuine crisis or rationalized rule-breaking—and the pattern itself becomes data for the Position Registry.</w:t>
      </w:r>
    </w:p>
    <w:p>
      <w:pPr>
        <w:pStyle w:val="Heading2"/>
        <w:spacing w:after="160" w:before="240"/>
      </w:pPr>
      <w:r>
        <w:rPr>
          <w:rFonts w:ascii="Arial" w:cs="Arial" w:eastAsia="Arial" w:hAnsi="Arial"/>
          <w:b/>
          <w:bCs/>
          <w:sz w:val="30"/>
          <w:szCs w:val="30"/>
        </w:rPr>
        <w:t xml:space="preserve">Repair 3: Bound the Game-Theoretic Framing (Book II)</w:t>
      </w:r>
    </w:p>
    <w:p>
      <w:pPr>
        <w:spacing w:after="120" w:line="276"/>
      </w:pPr>
      <w:r>
        <w:rPr>
          <w:rFonts w:ascii="Arial" w:cs="Arial" w:eastAsia="Arial" w:hAnsi="Arial"/>
          <w:b/>
          <w:bCs/>
          <w:sz w:val="24"/>
          <w:szCs w:val="24"/>
        </w:rPr>
        <w:t xml:space="preserve">Problem: </w:t>
      </w:r>
      <w:r>
        <w:rPr>
          <w:rFonts w:ascii="Arial" w:cs="Arial" w:eastAsia="Arial" w:hAnsi="Arial"/>
          <w:sz w:val="24"/>
          <w:szCs w:val="24"/>
        </w:rPr>
        <w:t xml:space="preserve">Using game theory as the “primary analytical tool” distorts moral phenomena that involve love, sacrifice, solidarity, and supererogation.</w:t>
      </w:r>
    </w:p>
    <w:p>
      <w:pPr>
        <w:spacing w:after="120" w:line="276"/>
      </w:pPr>
      <w:r>
        <w:rPr>
          <w:rFonts w:ascii="Arial" w:cs="Arial" w:eastAsia="Arial" w:hAnsi="Arial"/>
          <w:b/>
          <w:bCs/>
          <w:sz w:val="24"/>
          <w:szCs w:val="24"/>
        </w:rPr>
        <w:t xml:space="preserve">Fix: </w:t>
      </w:r>
      <w:r>
        <w:rPr>
          <w:rFonts w:ascii="Arial" w:cs="Arial" w:eastAsia="Arial" w:hAnsi="Arial"/>
          <w:sz w:val="24"/>
          <w:szCs w:val="24"/>
        </w:rPr>
        <w:t xml:space="preserve">Add a new section to Chapter 6 titled “What Moloch Cannot Explain” that explicitly acknowledges three categories of moral phenomena outside the game-theoretic frame:</w:t>
      </w:r>
    </w:p>
    <w:p>
      <w:pPr>
        <w:pStyle w:val="ListParagraph"/>
        <w:numPr>
          <w:ilvl w:val="0"/>
          <w:numId w:val="4"/>
        </w:numPr>
        <w:spacing w:after="80" w:line="276"/>
      </w:pPr>
      <w:r>
        <w:rPr>
          <w:rFonts w:ascii="Arial" w:cs="Arial" w:eastAsia="Arial" w:hAnsi="Arial"/>
          <w:b/>
          <w:bCs/>
          <w:sz w:val="24"/>
          <w:szCs w:val="24"/>
        </w:rPr>
        <w:t xml:space="preserve">Care and dependency. </w:t>
      </w:r>
      <w:r>
        <w:rPr>
          <w:rFonts w:ascii="Arial" w:cs="Arial" w:eastAsia="Arial" w:hAnsi="Arial"/>
          <w:sz w:val="24"/>
          <w:szCs w:val="24"/>
        </w:rPr>
        <w:t xml:space="preserve">A parent’s sacrifice for a child is not a move in an iterated game. It is a response to vulnerability that precedes strategic calculation. Import Joan Tronto’s four elements of care (attentiveness, responsibility, competence, responsiveness) as a complement to game theory, not a replacement.</w:t>
      </w:r>
    </w:p>
    <w:p>
      <w:pPr>
        <w:pStyle w:val="ListParagraph"/>
        <w:numPr>
          <w:ilvl w:val="0"/>
          <w:numId w:val="4"/>
        </w:numPr>
        <w:spacing w:after="80" w:line="276"/>
      </w:pPr>
      <w:r>
        <w:rPr>
          <w:rFonts w:ascii="Arial" w:cs="Arial" w:eastAsia="Arial" w:hAnsi="Arial"/>
          <w:b/>
          <w:bCs/>
          <w:sz w:val="24"/>
          <w:szCs w:val="24"/>
        </w:rPr>
        <w:t xml:space="preserve">Supererogation. </w:t>
      </w:r>
      <w:r>
        <w:rPr>
          <w:rFonts w:ascii="Arial" w:cs="Arial" w:eastAsia="Arial" w:hAnsi="Arial"/>
          <w:sz w:val="24"/>
          <w:szCs w:val="24"/>
        </w:rPr>
        <w:t xml:space="preserve">Acts that go “beyond the call of duty” cannot be modeled as equilibrium strategies. The framework should acknowledge supererogation as a real moral category that game theory cannot generate but that the virtues (Chapter 11) can explain.</w:t>
      </w:r>
    </w:p>
    <w:p>
      <w:pPr>
        <w:pStyle w:val="ListParagraph"/>
        <w:numPr>
          <w:ilvl w:val="0"/>
          <w:numId w:val="4"/>
        </w:numPr>
        <w:spacing w:after="80" w:line="276"/>
      </w:pPr>
      <w:r>
        <w:rPr>
          <w:rFonts w:ascii="Arial" w:cs="Arial" w:eastAsia="Arial" w:hAnsi="Arial"/>
          <w:b/>
          <w:bCs/>
          <w:sz w:val="24"/>
          <w:szCs w:val="24"/>
        </w:rPr>
        <w:t xml:space="preserve">Expressive rationality. </w:t>
      </w:r>
      <w:r>
        <w:rPr>
          <w:rFonts w:ascii="Arial" w:cs="Arial" w:eastAsia="Arial" w:hAnsi="Arial"/>
          <w:sz w:val="24"/>
          <w:szCs w:val="24"/>
        </w:rPr>
        <w:t xml:space="preserve">People sometimes act to express values rather than to achieve outcomes. Voting, protest, symbolic speech—these are poorly modeled by instrumental rationality. The framework should import the concept of “expressive rationality” from Geoffrey Brennan and Loren Lomasky’s work to explain these phenomena without abandoning the broader rationalist architecture.</w:t>
      </w:r>
    </w:p>
    <w:p>
      <w:pPr>
        <w:spacing w:after="120" w:line="276"/>
      </w:pPr>
      <w:r>
        <w:rPr>
          <w:rFonts w:ascii="Arial" w:cs="Arial" w:eastAsia="Arial" w:hAnsi="Arial"/>
          <w:sz w:val="24"/>
          <w:szCs w:val="24"/>
        </w:rPr>
        <w:t xml:space="preserve">This repair does not weaken the game-theoretic analysis—it bounds it. Game theory remains the primary tool for understanding coordination failure. But the system now explicitly acknowledges that not all of moral life is a coordination problem.</w:t>
      </w:r>
    </w:p>
    <w:p>
      <w:pPr>
        <w:pStyle w:val="Heading2"/>
        <w:spacing w:after="160" w:before="240"/>
      </w:pPr>
      <w:r>
        <w:rPr>
          <w:rFonts w:ascii="Arial" w:cs="Arial" w:eastAsia="Arial" w:hAnsi="Arial"/>
          <w:b/>
          <w:bCs/>
          <w:sz w:val="30"/>
          <w:szCs w:val="30"/>
        </w:rPr>
        <w:t xml:space="preserve">Repair 4: Formalize the Position Registry (Chapter 46)</w:t>
      </w:r>
    </w:p>
    <w:p>
      <w:pPr>
        <w:spacing w:after="120" w:line="276"/>
      </w:pPr>
      <w:r>
        <w:rPr>
          <w:rFonts w:ascii="Arial" w:cs="Arial" w:eastAsia="Arial" w:hAnsi="Arial"/>
          <w:b/>
          <w:bCs/>
          <w:sz w:val="24"/>
          <w:szCs w:val="24"/>
        </w:rPr>
        <w:t xml:space="preserve">Problem: </w:t>
      </w:r>
      <w:r>
        <w:rPr>
          <w:rFonts w:ascii="Arial" w:cs="Arial" w:eastAsia="Arial" w:hAnsi="Arial"/>
          <w:sz w:val="24"/>
          <w:szCs w:val="24"/>
        </w:rPr>
        <w:t xml:space="preserve">Confidence ratings are subjective and vulnerable to overconfidence bias, Dunning-Kruger effects, and strategic manipulation.</w:t>
      </w:r>
    </w:p>
    <w:p>
      <w:pPr>
        <w:spacing w:after="120" w:line="276"/>
      </w:pPr>
      <w:r>
        <w:rPr>
          <w:rFonts w:ascii="Arial" w:cs="Arial" w:eastAsia="Arial" w:hAnsi="Arial"/>
          <w:b/>
          <w:bCs/>
          <w:sz w:val="24"/>
          <w:szCs w:val="24"/>
        </w:rPr>
        <w:t xml:space="preserve">Fix: </w:t>
      </w:r>
      <w:r>
        <w:rPr>
          <w:rFonts w:ascii="Arial" w:cs="Arial" w:eastAsia="Arial" w:hAnsi="Arial"/>
          <w:sz w:val="24"/>
          <w:szCs w:val="24"/>
        </w:rPr>
        <w:t xml:space="preserve">Restructure the Position Registry into a three-tier system:</w:t>
      </w:r>
    </w:p>
    <w:p>
      <w:pPr>
        <w:pStyle w:val="ListParagraph"/>
        <w:numPr>
          <w:ilvl w:val="0"/>
          <w:numId w:val="3"/>
        </w:numPr>
        <w:spacing w:after="80" w:line="276"/>
      </w:pPr>
      <w:r>
        <w:rPr>
          <w:rFonts w:ascii="Arial" w:cs="Arial" w:eastAsia="Arial" w:hAnsi="Arial"/>
          <w:b/>
          <w:bCs/>
          <w:sz w:val="24"/>
          <w:szCs w:val="24"/>
        </w:rPr>
        <w:t xml:space="preserve">Tier 1: Empirical claims. </w:t>
      </w:r>
      <w:r>
        <w:rPr>
          <w:rFonts w:ascii="Arial" w:cs="Arial" w:eastAsia="Arial" w:hAnsi="Arial"/>
          <w:sz w:val="24"/>
          <w:szCs w:val="24"/>
        </w:rPr>
        <w:t xml:space="preserve">Use prediction-market-style scoring. Each empirical claim is paired with a falsification condition and a timeline. Track calibration over time. Import Robin Hanson’s futarchy principle: “vote on values, bet on beliefs.”</w:t>
      </w:r>
    </w:p>
    <w:p>
      <w:pPr>
        <w:pStyle w:val="ListParagraph"/>
        <w:numPr>
          <w:ilvl w:val="0"/>
          <w:numId w:val="3"/>
        </w:numPr>
        <w:spacing w:after="80" w:line="276"/>
      </w:pPr>
      <w:r>
        <w:rPr>
          <w:rFonts w:ascii="Arial" w:cs="Arial" w:eastAsia="Arial" w:hAnsi="Arial"/>
          <w:b/>
          <w:bCs/>
          <w:sz w:val="24"/>
          <w:szCs w:val="24"/>
        </w:rPr>
        <w:t xml:space="preserve">Tier 2: Normative positions. </w:t>
      </w:r>
      <w:r>
        <w:rPr>
          <w:rFonts w:ascii="Arial" w:cs="Arial" w:eastAsia="Arial" w:hAnsi="Arial"/>
          <w:sz w:val="24"/>
          <w:szCs w:val="24"/>
        </w:rPr>
        <w:t xml:space="preserve">Use the Maximizing Expected Choiceworthiness (MEC) framework from William MacAskill’s Moral Uncertainty. Each normative position is held with a credence weight across multiple moral theories. When theories conflict, the agent acts to maximize expected choiceworthiness.</w:t>
      </w:r>
    </w:p>
    <w:p>
      <w:pPr>
        <w:pStyle w:val="ListParagraph"/>
        <w:numPr>
          <w:ilvl w:val="0"/>
          <w:numId w:val="3"/>
        </w:numPr>
        <w:spacing w:after="80" w:line="276"/>
      </w:pPr>
      <w:r>
        <w:rPr>
          <w:rFonts w:ascii="Arial" w:cs="Arial" w:eastAsia="Arial" w:hAnsi="Arial"/>
          <w:b/>
          <w:bCs/>
          <w:sz w:val="24"/>
          <w:szCs w:val="24"/>
        </w:rPr>
        <w:t xml:space="preserve">Tier 3: Architectural commitments. </w:t>
      </w:r>
      <w:r>
        <w:rPr>
          <w:rFonts w:ascii="Arial" w:cs="Arial" w:eastAsia="Arial" w:hAnsi="Arial"/>
          <w:sz w:val="24"/>
          <w:szCs w:val="24"/>
        </w:rPr>
        <w:t xml:space="preserve">These are the system’s structural features (dual-process ethics, Bayesian epistemology, valence grounding). They are revisable but only through a more demanding process: the commitment must be shown to fail under conditions the system itself specifies as authoritative.</w:t>
      </w:r>
    </w:p>
    <w:p>
      <w:pPr>
        <w:spacing w:after="120" w:line="276"/>
      </w:pPr>
      <w:r>
        <w:rPr>
          <w:rFonts w:ascii="Arial" w:cs="Arial" w:eastAsia="Arial" w:hAnsi="Arial"/>
          <w:sz w:val="24"/>
          <w:szCs w:val="24"/>
        </w:rPr>
        <w:t xml:space="preserve">Add a new appendix: “The Position Registry: Technical Specification,” which provides a template for each entry (claim, confidence, vulnerability, falsification condition, last review date, revision history).</w:t>
      </w:r>
    </w:p>
    <w:p>
      <w:pPr>
        <w:pStyle w:val="Heading2"/>
        <w:spacing w:after="160" w:before="240"/>
      </w:pPr>
      <w:r>
        <w:rPr>
          <w:rFonts w:ascii="Arial" w:cs="Arial" w:eastAsia="Arial" w:hAnsi="Arial"/>
          <w:b/>
          <w:bCs/>
          <w:sz w:val="30"/>
          <w:szCs w:val="30"/>
        </w:rPr>
        <w:t xml:space="preserve">Repair 5: Resolve the MacIntyre Contradiction (Chapter 45)</w:t>
      </w:r>
    </w:p>
    <w:p>
      <w:pPr>
        <w:spacing w:after="120" w:line="276"/>
      </w:pPr>
      <w:r>
        <w:rPr>
          <w:rFonts w:ascii="Arial" w:cs="Arial" w:eastAsia="Arial" w:hAnsi="Arial"/>
          <w:b/>
          <w:bCs/>
          <w:sz w:val="24"/>
          <w:szCs w:val="24"/>
        </w:rPr>
        <w:t xml:space="preserve">Problem: </w:t>
      </w:r>
      <w:r>
        <w:rPr>
          <w:rFonts w:ascii="Arial" w:cs="Arial" w:eastAsia="Arial" w:hAnsi="Arial"/>
          <w:sz w:val="24"/>
          <w:szCs w:val="24"/>
        </w:rPr>
        <w:t xml:space="preserve">The system claims MacIntyrean narrative unity while doing the exact “synthesis shopping” MacIntyre spent his career arguing against.</w:t>
      </w:r>
    </w:p>
    <w:p>
      <w:pPr>
        <w:spacing w:after="120" w:line="276"/>
      </w:pPr>
      <w:r>
        <w:rPr>
          <w:rFonts w:ascii="Arial" w:cs="Arial" w:eastAsia="Arial" w:hAnsi="Arial"/>
          <w:b/>
          <w:bCs/>
          <w:sz w:val="24"/>
          <w:szCs w:val="24"/>
        </w:rPr>
        <w:t xml:space="preserve">Fix: </w:t>
      </w:r>
      <w:r>
        <w:rPr>
          <w:rFonts w:ascii="Arial" w:cs="Arial" w:eastAsia="Arial" w:hAnsi="Arial"/>
          <w:sz w:val="24"/>
          <w:szCs w:val="24"/>
        </w:rPr>
        <w:t xml:space="preserve">Reframe the synthesis methodology. Instead of claiming to stand outside all traditions and select the best elements, argue that CR is itself a tradition—the rationalist tradition descending from the Enlightenment through Bayesian epistemology, game theory, and evolutionary psychology—that is conducting a principled engagement with other traditions from within its own standpoint. What CR takes from other traditions is not arbitrary eclecticism but the result of applying its own epistemic standards (Bayesian updating, empirical testability, reflective equilibrium) to rival claims. This is MacIntyre-compatible: traditions can learn from each other through “epistemological crises” where a tradition discovers internal resources are insufficient and must incorporate insights from outside. CR’s honest acknowledgment of its own limitations (the Position Registry’s vulnerability ratings) is precisely the mechanism MacIntyre describes.</w:t>
      </w:r>
    </w:p>
    <w:p>
      <w:r>
        <w:br w:type="page"/>
      </w:r>
    </w:p>
    <w:p>
      <w:pPr>
        <w:pStyle w:val="Heading1"/>
        <w:spacing w:after="160" w:before="360"/>
      </w:pPr>
      <w:r>
        <w:rPr>
          <w:rFonts w:ascii="Arial" w:cs="Arial" w:eastAsia="Arial" w:hAnsi="Arial"/>
          <w:b/>
          <w:bCs/>
          <w:sz w:val="36"/>
          <w:szCs w:val="36"/>
        </w:rPr>
        <w:t xml:space="preserve">Part III: New Chapters and Sections</w:t>
      </w:r>
    </w:p>
    <w:p>
      <w:pPr>
        <w:spacing w:after="120" w:line="276"/>
      </w:pPr>
      <w:r>
        <w:rPr>
          <w:rFonts w:ascii="Arial" w:cs="Arial" w:eastAsia="Arial" w:hAnsi="Arial"/>
          <w:sz w:val="24"/>
          <w:szCs w:val="24"/>
        </w:rPr>
        <w:t xml:space="preserve">The following new material fills gaps identified in the review and adds the policy/ideology content required for the second edition.</w:t>
      </w:r>
    </w:p>
    <w:p>
      <w:pPr>
        <w:pStyle w:val="Heading2"/>
        <w:spacing w:after="160" w:before="240"/>
      </w:pPr>
      <w:r>
        <w:rPr>
          <w:rFonts w:ascii="Arial" w:cs="Arial" w:eastAsia="Arial" w:hAnsi="Arial"/>
          <w:b/>
          <w:bCs/>
          <w:sz w:val="30"/>
          <w:szCs w:val="30"/>
        </w:rPr>
        <w:t xml:space="preserve">New Chapter: The Care Layer (Insert as Chapter 12.5 or expand Chapter 14)</w:t>
      </w:r>
    </w:p>
    <w:p>
      <w:pPr>
        <w:spacing w:after="120" w:line="276"/>
      </w:pPr>
      <w:r>
        <w:rPr>
          <w:rFonts w:ascii="Arial" w:cs="Arial" w:eastAsia="Arial" w:hAnsi="Arial"/>
          <w:b/>
          <w:bCs/>
          <w:sz w:val="24"/>
          <w:szCs w:val="24"/>
        </w:rPr>
        <w:t xml:space="preserve">Purpose: </w:t>
      </w:r>
      <w:r>
        <w:rPr>
          <w:rFonts w:ascii="Arial" w:cs="Arial" w:eastAsia="Arial" w:hAnsi="Arial"/>
          <w:sz w:val="24"/>
          <w:szCs w:val="24"/>
        </w:rPr>
        <w:t xml:space="preserve">Close the system’s most significant blind spot. Care ethics (Noddings, Held, Kittay) identifies dependency, vulnerability, and asymmetric relationships as constitutive of moral life—not strategic phenomena reducible to game theory.</w:t>
      </w:r>
    </w:p>
    <w:p>
      <w:pPr>
        <w:spacing w:after="120" w:line="276"/>
      </w:pPr>
      <w:r>
        <w:rPr>
          <w:rFonts w:ascii="Arial" w:cs="Arial" w:eastAsia="Arial" w:hAnsi="Arial"/>
          <w:b/>
          <w:bCs/>
          <w:sz w:val="24"/>
          <w:szCs w:val="24"/>
        </w:rPr>
        <w:t xml:space="preserve">Structure:</w:t>
      </w:r>
    </w:p>
    <w:p>
      <w:pPr>
        <w:pStyle w:val="ListParagraph"/>
        <w:numPr>
          <w:ilvl w:val="0"/>
          <w:numId w:val="3"/>
        </w:numPr>
        <w:spacing w:after="80" w:line="276"/>
      </w:pPr>
      <w:r>
        <w:rPr>
          <w:rFonts w:ascii="Arial" w:cs="Arial" w:eastAsia="Arial" w:hAnsi="Arial"/>
          <w:sz w:val="24"/>
          <w:szCs w:val="24"/>
        </w:rPr>
        <w:t xml:space="preserve">Why care is not reducible to coordination. The parent-child relationship as a test case.</w:t>
      </w:r>
    </w:p>
    <w:p>
      <w:pPr>
        <w:pStyle w:val="ListParagraph"/>
        <w:numPr>
          <w:ilvl w:val="0"/>
          <w:numId w:val="3"/>
        </w:numPr>
        <w:spacing w:after="80" w:line="276"/>
      </w:pPr>
      <w:r>
        <w:rPr>
          <w:rFonts w:ascii="Arial" w:cs="Arial" w:eastAsia="Arial" w:hAnsi="Arial"/>
          <w:sz w:val="24"/>
          <w:szCs w:val="24"/>
        </w:rPr>
        <w:t xml:space="preserve">Tronto’s four elements of care as Mode A virtues: attentiveness, responsibility, competence, responsiveness.</w:t>
      </w:r>
    </w:p>
    <w:p>
      <w:pPr>
        <w:pStyle w:val="ListParagraph"/>
        <w:numPr>
          <w:ilvl w:val="0"/>
          <w:numId w:val="3"/>
        </w:numPr>
        <w:spacing w:after="80" w:line="276"/>
      </w:pPr>
      <w:r>
        <w:rPr>
          <w:rFonts w:ascii="Arial" w:cs="Arial" w:eastAsia="Arial" w:hAnsi="Arial"/>
          <w:sz w:val="24"/>
          <w:szCs w:val="24"/>
        </w:rPr>
        <w:t xml:space="preserve">Kittay’s derivative dependency: how caring for the vulnerable creates secondary vulnerabilities that political philosophy must address.</w:t>
      </w:r>
    </w:p>
    <w:p>
      <w:pPr>
        <w:pStyle w:val="ListParagraph"/>
        <w:numPr>
          <w:ilvl w:val="0"/>
          <w:numId w:val="3"/>
        </w:numPr>
        <w:spacing w:after="80" w:line="276"/>
      </w:pPr>
      <w:r>
        <w:rPr>
          <w:rFonts w:ascii="Arial" w:cs="Arial" w:eastAsia="Arial" w:hAnsi="Arial"/>
          <w:sz w:val="24"/>
          <w:szCs w:val="24"/>
        </w:rPr>
        <w:t xml:space="preserve">Integration: care as the “substrate” on which game-theoretic coordination operates. You need caring agents before you can have cooperating agents.</w:t>
      </w:r>
    </w:p>
    <w:p>
      <w:pPr>
        <w:pStyle w:val="ListParagraph"/>
        <w:numPr>
          <w:ilvl w:val="0"/>
          <w:numId w:val="3"/>
        </w:numPr>
        <w:spacing w:after="80" w:line="276"/>
      </w:pPr>
      <w:r>
        <w:rPr>
          <w:rFonts w:ascii="Arial" w:cs="Arial" w:eastAsia="Arial" w:hAnsi="Arial"/>
          <w:sz w:val="24"/>
          <w:szCs w:val="24"/>
        </w:rPr>
        <w:t xml:space="preserve">Implications for political philosophy: paid family leave, disability policy, elder care, and the care economy as coordination problems that market mechanisms alone cannot solve.</w:t>
      </w:r>
    </w:p>
    <w:p>
      <w:pPr>
        <w:spacing w:after="120" w:line="276"/>
      </w:pPr>
      <w:r>
        <w:rPr>
          <w:rFonts w:ascii="Arial" w:cs="Arial" w:eastAsia="Arial" w:hAnsi="Arial"/>
          <w:b/>
          <w:bCs/>
          <w:sz w:val="24"/>
          <w:szCs w:val="24"/>
        </w:rPr>
        <w:t xml:space="preserve">Estimated length: </w:t>
      </w:r>
      <w:r>
        <w:rPr>
          <w:rFonts w:ascii="Arial" w:cs="Arial" w:eastAsia="Arial" w:hAnsi="Arial"/>
          <w:sz w:val="24"/>
          <w:szCs w:val="24"/>
        </w:rPr>
        <w:t xml:space="preserve">8,000–10,000 words. This is a full chapter, not a section.</w:t>
      </w:r>
    </w:p>
    <w:p>
      <w:pPr>
        <w:pStyle w:val="Heading2"/>
        <w:spacing w:after="160" w:before="240"/>
      </w:pPr>
      <w:r>
        <w:rPr>
          <w:rFonts w:ascii="Arial" w:cs="Arial" w:eastAsia="Arial" w:hAnsi="Arial"/>
          <w:b/>
          <w:bCs/>
          <w:sz w:val="30"/>
          <w:szCs w:val="30"/>
        </w:rPr>
        <w:t xml:space="preserve">New Chapter: Ideology Stress-Tests (Insert after Chapter 24)</w:t>
      </w:r>
    </w:p>
    <w:p>
      <w:pPr>
        <w:spacing w:after="120" w:line="276"/>
      </w:pPr>
      <w:r>
        <w:rPr>
          <w:rFonts w:ascii="Arial" w:cs="Arial" w:eastAsia="Arial" w:hAnsi="Arial"/>
          <w:b/>
          <w:bCs/>
          <w:sz w:val="24"/>
          <w:szCs w:val="24"/>
        </w:rPr>
        <w:t xml:space="preserve">Purpose: </w:t>
      </w:r>
      <w:r>
        <w:rPr>
          <w:rFonts w:ascii="Arial" w:cs="Arial" w:eastAsia="Arial" w:hAnsi="Arial"/>
          <w:sz w:val="24"/>
          <w:szCs w:val="24"/>
        </w:rPr>
        <w:t xml:space="preserve">Demonstrate that CR generates better policy positions than any single ideology by engaging each on its own strongest terms and showing where it breaks.</w:t>
      </w:r>
    </w:p>
    <w:p>
      <w:pPr>
        <w:spacing w:after="120" w:line="276"/>
      </w:pPr>
      <w:r>
        <w:rPr>
          <w:rFonts w:ascii="Arial" w:cs="Arial" w:eastAsia="Arial" w:hAnsi="Arial"/>
          <w:b/>
          <w:bCs/>
          <w:sz w:val="24"/>
          <w:szCs w:val="24"/>
        </w:rPr>
        <w:t xml:space="preserve">Working title: </w:t>
      </w:r>
      <w:r>
        <w:rPr>
          <w:rFonts w:ascii="Arial" w:cs="Arial" w:eastAsia="Arial" w:hAnsi="Arial"/>
          <w:sz w:val="24"/>
          <w:szCs w:val="24"/>
        </w:rPr>
        <w:t xml:space="preserve">“Chapter 24B: The Framework vs. the Ideologies—Libertarian, Conservative, Progressive, and Socialist Policy Through the Lens of Constructivist Realism.”</w:t>
      </w:r>
    </w:p>
    <w:p>
      <w:pPr>
        <w:spacing w:after="120" w:line="276"/>
      </w:pPr>
      <w:r>
        <w:rPr>
          <w:rFonts w:ascii="Arial" w:cs="Arial" w:eastAsia="Arial" w:hAnsi="Arial"/>
          <w:b/>
          <w:bCs/>
          <w:sz w:val="24"/>
          <w:szCs w:val="24"/>
        </w:rPr>
        <w:t xml:space="preserve">Structure:</w:t>
      </w:r>
    </w:p>
    <w:p>
      <w:pPr>
        <w:pStyle w:val="Heading3"/>
        <w:spacing w:after="160" w:before="240"/>
      </w:pPr>
      <w:r>
        <w:rPr>
          <w:rFonts w:ascii="Arial" w:cs="Arial" w:eastAsia="Arial" w:hAnsi="Arial"/>
          <w:b/>
          <w:bCs/>
          <w:sz w:val="26"/>
          <w:szCs w:val="26"/>
        </w:rPr>
        <w:t xml:space="preserve">Section 1: Against Libertarianism</w:t>
      </w:r>
    </w:p>
    <w:p>
      <w:pPr>
        <w:pStyle w:val="ListParagraph"/>
        <w:numPr>
          <w:ilvl w:val="0"/>
          <w:numId w:val="3"/>
        </w:numPr>
        <w:spacing w:after="80" w:line="276"/>
      </w:pPr>
      <w:r>
        <w:rPr>
          <w:rFonts w:ascii="Arial" w:cs="Arial" w:eastAsia="Arial" w:hAnsi="Arial"/>
          <w:b/>
          <w:bCs/>
          <w:sz w:val="24"/>
          <w:szCs w:val="24"/>
        </w:rPr>
        <w:t xml:space="preserve">Steel-man: </w:t>
      </w:r>
      <w:r>
        <w:rPr>
          <w:rFonts w:ascii="Arial" w:cs="Arial" w:eastAsia="Arial" w:hAnsi="Arial"/>
          <w:sz w:val="24"/>
          <w:szCs w:val="24"/>
        </w:rPr>
        <w:t xml:space="preserve">Libertarianism’s strongest case is the knowledge problem (Hayek), the non-aggression principle (Rothbard/Nozick), spontaneous order, and the empirical track record of economic freedom (Gwartney, Lawson &amp; Hall’s Economic Freedom Index).</w:t>
      </w:r>
    </w:p>
    <w:p>
      <w:pPr>
        <w:pStyle w:val="ListParagraph"/>
        <w:numPr>
          <w:ilvl w:val="0"/>
          <w:numId w:val="3"/>
        </w:numPr>
        <w:spacing w:after="80" w:line="276"/>
      </w:pPr>
      <w:r>
        <w:rPr>
          <w:rFonts w:ascii="Arial" w:cs="Arial" w:eastAsia="Arial" w:hAnsi="Arial"/>
          <w:b/>
          <w:bCs/>
          <w:sz w:val="24"/>
          <w:szCs w:val="24"/>
        </w:rPr>
        <w:t xml:space="preserve">Where CR agrees: </w:t>
      </w:r>
      <w:r>
        <w:rPr>
          <w:rFonts w:ascii="Arial" w:cs="Arial" w:eastAsia="Arial" w:hAnsi="Arial"/>
          <w:sz w:val="24"/>
          <w:szCs w:val="24"/>
        </w:rPr>
        <w:t xml:space="preserve">Markets as information systems. The knowledge problem is real. Government intervention carries information costs. Property rights are essential coordination institutions. Economic freedom correlates with prosperity.</w:t>
      </w:r>
    </w:p>
    <w:p>
      <w:pPr>
        <w:pStyle w:val="ListParagraph"/>
        <w:numPr>
          <w:ilvl w:val="0"/>
          <w:numId w:val="3"/>
        </w:numPr>
        <w:spacing w:after="80" w:line="276"/>
      </w:pPr>
      <w:r>
        <w:rPr>
          <w:rFonts w:ascii="Arial" w:cs="Arial" w:eastAsia="Arial" w:hAnsi="Arial"/>
          <w:b/>
          <w:bCs/>
          <w:sz w:val="24"/>
          <w:szCs w:val="24"/>
        </w:rPr>
        <w:t xml:space="preserve">Where CR breaks from libertarianism: </w:t>
      </w:r>
      <w:r>
        <w:rPr>
          <w:rFonts w:ascii="Arial" w:cs="Arial" w:eastAsia="Arial" w:hAnsi="Arial"/>
          <w:sz w:val="24"/>
          <w:szCs w:val="24"/>
        </w:rPr>
        <w:t xml:space="preserve">(a) Externalities are real coordination failures that markets cannot self-correct—climate change is the decisive case. (b) The non-aggression principle cannot handle positive obligations (rescue, care for dependents, public goods provision). (c) “Spontaneous order” does not guarantee just order—Moloch is itself a spontaneous order. (d) The capabilities floor (Sen/Nussbaum) requires redistribution that libertarianism rejects. (e) Nozick’s Wilt Chamberlain argument assumes a just initial distribution that has never existed historically.</w:t>
      </w:r>
    </w:p>
    <w:p>
      <w:pPr>
        <w:pStyle w:val="ListParagraph"/>
        <w:numPr>
          <w:ilvl w:val="0"/>
          <w:numId w:val="3"/>
        </w:numPr>
        <w:spacing w:after="80" w:line="276"/>
      </w:pPr>
      <w:r>
        <w:rPr>
          <w:rFonts w:ascii="Arial" w:cs="Arial" w:eastAsia="Arial" w:hAnsi="Arial"/>
          <w:b/>
          <w:bCs/>
          <w:sz w:val="24"/>
          <w:szCs w:val="24"/>
        </w:rPr>
        <w:t xml:space="preserve">Policy implications: </w:t>
      </w:r>
      <w:r>
        <w:rPr>
          <w:rFonts w:ascii="Arial" w:cs="Arial" w:eastAsia="Arial" w:hAnsi="Arial"/>
          <w:sz w:val="24"/>
          <w:szCs w:val="24"/>
        </w:rPr>
        <w:t xml:space="preserve">CR supports market primacy with active externality correction, a capabilities-based safety net, and anti-monopoly enforcement. It rejects both laissez-faire purism and central planning.</w:t>
      </w:r>
    </w:p>
    <w:p>
      <w:pPr>
        <w:pStyle w:val="Heading3"/>
        <w:spacing w:after="160" w:before="240"/>
      </w:pPr>
      <w:r>
        <w:rPr>
          <w:rFonts w:ascii="Arial" w:cs="Arial" w:eastAsia="Arial" w:hAnsi="Arial"/>
          <w:b/>
          <w:bCs/>
          <w:sz w:val="26"/>
          <w:szCs w:val="26"/>
        </w:rPr>
        <w:t xml:space="preserve">Section 2: Against Republican/Conservative Policy</w:t>
      </w:r>
    </w:p>
    <w:p>
      <w:pPr>
        <w:pStyle w:val="ListParagraph"/>
        <w:numPr>
          <w:ilvl w:val="0"/>
          <w:numId w:val="3"/>
        </w:numPr>
        <w:spacing w:after="80" w:line="276"/>
      </w:pPr>
      <w:r>
        <w:rPr>
          <w:rFonts w:ascii="Arial" w:cs="Arial" w:eastAsia="Arial" w:hAnsi="Arial"/>
          <w:b/>
          <w:bCs/>
          <w:sz w:val="24"/>
          <w:szCs w:val="24"/>
        </w:rPr>
        <w:t xml:space="preserve">Steel-man: </w:t>
      </w:r>
      <w:r>
        <w:rPr>
          <w:rFonts w:ascii="Arial" w:cs="Arial" w:eastAsia="Arial" w:hAnsi="Arial"/>
          <w:sz w:val="24"/>
          <w:szCs w:val="24"/>
        </w:rPr>
        <w:t xml:space="preserve">Burkean conservatism’s strongest case is Chesterton’s Fence (don’t reform what you don’t understand), the value of institutional continuity, the binding moral foundations (loyalty, authority, sanctity per Haidt), the family as a social institution with empirical benefits, and skepticism of utopian social engineering (Hayek, Oakeshott, Sowell).</w:t>
      </w:r>
    </w:p>
    <w:p>
      <w:pPr>
        <w:pStyle w:val="ListParagraph"/>
        <w:numPr>
          <w:ilvl w:val="0"/>
          <w:numId w:val="3"/>
        </w:numPr>
        <w:spacing w:after="80" w:line="276"/>
      </w:pPr>
      <w:r>
        <w:rPr>
          <w:rFonts w:ascii="Arial" w:cs="Arial" w:eastAsia="Arial" w:hAnsi="Arial"/>
          <w:b/>
          <w:bCs/>
          <w:sz w:val="24"/>
          <w:szCs w:val="24"/>
        </w:rPr>
        <w:t xml:space="preserve">Where CR agrees: </w:t>
      </w:r>
      <w:r>
        <w:rPr>
          <w:rFonts w:ascii="Arial" w:cs="Arial" w:eastAsia="Arial" w:hAnsi="Arial"/>
          <w:sz w:val="24"/>
          <w:szCs w:val="24"/>
        </w:rPr>
        <w:t xml:space="preserve">Chesterton’s Fence is literally Chapter 9. Institutional continuity has real coordination value. Haidt’s binding foundations track real moral intuitions that progressive frameworks underweight. Error-correction beats revolution. Subsidiarity is a conservative principle CR endorses.</w:t>
      </w:r>
    </w:p>
    <w:p>
      <w:pPr>
        <w:pStyle w:val="ListParagraph"/>
        <w:numPr>
          <w:ilvl w:val="0"/>
          <w:numId w:val="3"/>
        </w:numPr>
        <w:spacing w:after="80" w:line="276"/>
      </w:pPr>
      <w:r>
        <w:rPr>
          <w:rFonts w:ascii="Arial" w:cs="Arial" w:eastAsia="Arial" w:hAnsi="Arial"/>
          <w:b/>
          <w:bCs/>
          <w:sz w:val="24"/>
          <w:szCs w:val="24"/>
        </w:rPr>
        <w:t xml:space="preserve">Where CR breaks from conservatism: </w:t>
      </w:r>
      <w:r>
        <w:rPr>
          <w:rFonts w:ascii="Arial" w:cs="Arial" w:eastAsia="Arial" w:hAnsi="Arial"/>
          <w:sz w:val="24"/>
          <w:szCs w:val="24"/>
        </w:rPr>
        <w:t xml:space="preserve">(a) Tradition is a heuristic, not an authority—when evidence shows a tradition causes net harm (e.g., criminalization of homosexuality), the tradition must yield. (b) Religious authority cannot ground policy in a pluralist society—the verification problem from Chapter 36. (c) “Market fundamentalism” (conflating market efficiency with market justice) is a failure of conservative economic thinking. (d) Climate denial is an epistemic failure incompatible with CR’s epistemological commitments. (e) Nativism violates the universality of the valence axiom.</w:t>
      </w:r>
    </w:p>
    <w:p>
      <w:pPr>
        <w:pStyle w:val="ListParagraph"/>
        <w:numPr>
          <w:ilvl w:val="0"/>
          <w:numId w:val="3"/>
        </w:numPr>
        <w:spacing w:after="80" w:line="276"/>
      </w:pPr>
      <w:r>
        <w:rPr>
          <w:rFonts w:ascii="Arial" w:cs="Arial" w:eastAsia="Arial" w:hAnsi="Arial"/>
          <w:b/>
          <w:bCs/>
          <w:sz w:val="24"/>
          <w:szCs w:val="24"/>
        </w:rPr>
        <w:t xml:space="preserve">Policy implications: </w:t>
      </w:r>
      <w:r>
        <w:rPr>
          <w:rFonts w:ascii="Arial" w:cs="Arial" w:eastAsia="Arial" w:hAnsi="Arial"/>
          <w:sz w:val="24"/>
          <w:szCs w:val="24"/>
        </w:rPr>
        <w:t xml:space="preserve">CR supports institutional conservatism (slow reform, error-correction, separation of powers) while rejecting social conservatism where it conflicts with evidence and the axiom.</w:t>
      </w:r>
    </w:p>
    <w:p>
      <w:pPr>
        <w:pStyle w:val="Heading3"/>
        <w:spacing w:after="160" w:before="240"/>
      </w:pPr>
      <w:r>
        <w:rPr>
          <w:rFonts w:ascii="Arial" w:cs="Arial" w:eastAsia="Arial" w:hAnsi="Arial"/>
          <w:b/>
          <w:bCs/>
          <w:sz w:val="26"/>
          <w:szCs w:val="26"/>
        </w:rPr>
        <w:t xml:space="preserve">Section 3: Against Democratic/Progressive Policy</w:t>
      </w:r>
    </w:p>
    <w:p>
      <w:pPr>
        <w:pStyle w:val="ListParagraph"/>
        <w:numPr>
          <w:ilvl w:val="0"/>
          <w:numId w:val="3"/>
        </w:numPr>
        <w:spacing w:after="80" w:line="276"/>
      </w:pPr>
      <w:r>
        <w:rPr>
          <w:rFonts w:ascii="Arial" w:cs="Arial" w:eastAsia="Arial" w:hAnsi="Arial"/>
          <w:b/>
          <w:bCs/>
          <w:sz w:val="24"/>
          <w:szCs w:val="24"/>
        </w:rPr>
        <w:t xml:space="preserve">Steel-man: </w:t>
      </w:r>
      <w:r>
        <w:rPr>
          <w:rFonts w:ascii="Arial" w:cs="Arial" w:eastAsia="Arial" w:hAnsi="Arial"/>
          <w:sz w:val="24"/>
          <w:szCs w:val="24"/>
        </w:rPr>
        <w:t xml:space="preserve">Progressivism’s strongest case is Rawlsian justice (the difference principle), the empirical reality of structural disadvantage, the positive externalities of public investment (education, infrastructure, R&amp;D), and the democratic mandate for redistribution.</w:t>
      </w:r>
    </w:p>
    <w:p>
      <w:pPr>
        <w:pStyle w:val="ListParagraph"/>
        <w:numPr>
          <w:ilvl w:val="0"/>
          <w:numId w:val="3"/>
        </w:numPr>
        <w:spacing w:after="80" w:line="276"/>
      </w:pPr>
      <w:r>
        <w:rPr>
          <w:rFonts w:ascii="Arial" w:cs="Arial" w:eastAsia="Arial" w:hAnsi="Arial"/>
          <w:b/>
          <w:bCs/>
          <w:sz w:val="24"/>
          <w:szCs w:val="24"/>
        </w:rPr>
        <w:t xml:space="preserve">Where CR agrees: </w:t>
      </w:r>
      <w:r>
        <w:rPr>
          <w:rFonts w:ascii="Arial" w:cs="Arial" w:eastAsia="Arial" w:hAnsi="Arial"/>
          <w:sz w:val="24"/>
          <w:szCs w:val="24"/>
        </w:rPr>
        <w:t xml:space="preserve">Structural disadvantage is real and measurable. The capabilities floor requires public provision. Public goods are genuine market failures requiring government action. Rawls’s insight that inequality needs justification is correct.</w:t>
      </w:r>
    </w:p>
    <w:p>
      <w:pPr>
        <w:pStyle w:val="ListParagraph"/>
        <w:numPr>
          <w:ilvl w:val="0"/>
          <w:numId w:val="3"/>
        </w:numPr>
        <w:spacing w:after="80" w:line="276"/>
      </w:pPr>
      <w:r>
        <w:rPr>
          <w:rFonts w:ascii="Arial" w:cs="Arial" w:eastAsia="Arial" w:hAnsi="Arial"/>
          <w:b/>
          <w:bCs/>
          <w:sz w:val="24"/>
          <w:szCs w:val="24"/>
        </w:rPr>
        <w:t xml:space="preserve">Where CR breaks from progressivism: </w:t>
      </w:r>
      <w:r>
        <w:rPr>
          <w:rFonts w:ascii="Arial" w:cs="Arial" w:eastAsia="Arial" w:hAnsi="Arial"/>
          <w:sz w:val="24"/>
          <w:szCs w:val="24"/>
        </w:rPr>
        <w:t xml:space="preserve">(a) Caplan’s rational irrationality (Chapter 20) means democratic mandates are often based on systematically biased beliefs—popular support does not equal good policy. (b) Rent control, minimum wage above market-clearing levels, and protectionism fail the 7-step policy evaluation when incentive analysis is applied rigorously. (c) Speech restrictions (campus speech codes, hate speech laws) damage the epistemic commons (Chapter 21). (d) Identity-group essentialism contradicts CR’s individualist epistemology. (e) The progressive bias toward centralization violates subsidiarity.</w:t>
      </w:r>
    </w:p>
    <w:p>
      <w:pPr>
        <w:pStyle w:val="ListParagraph"/>
        <w:numPr>
          <w:ilvl w:val="0"/>
          <w:numId w:val="3"/>
        </w:numPr>
        <w:spacing w:after="80" w:line="276"/>
      </w:pPr>
      <w:r>
        <w:rPr>
          <w:rFonts w:ascii="Arial" w:cs="Arial" w:eastAsia="Arial" w:hAnsi="Arial"/>
          <w:b/>
          <w:bCs/>
          <w:sz w:val="24"/>
          <w:szCs w:val="24"/>
        </w:rPr>
        <w:t xml:space="preserve">Policy implications: </w:t>
      </w:r>
      <w:r>
        <w:rPr>
          <w:rFonts w:ascii="Arial" w:cs="Arial" w:eastAsia="Arial" w:hAnsi="Arial"/>
          <w:sz w:val="24"/>
          <w:szCs w:val="24"/>
        </w:rPr>
        <w:t xml:space="preserve">CR supports redistribution via the capabilities floor but through mechanisms that preserve market incentives (earned income tax credits over minimum wage, carbon taxes over command-and-control regulation, school choice over monopoly public provision).</w:t>
      </w:r>
    </w:p>
    <w:p>
      <w:pPr>
        <w:pStyle w:val="Heading3"/>
        <w:spacing w:after="160" w:before="240"/>
      </w:pPr>
      <w:r>
        <w:rPr>
          <w:rFonts w:ascii="Arial" w:cs="Arial" w:eastAsia="Arial" w:hAnsi="Arial"/>
          <w:b/>
          <w:bCs/>
          <w:sz w:val="26"/>
          <w:szCs w:val="26"/>
        </w:rPr>
        <w:t xml:space="preserve">Section 4: Against Far-Left/Socialist Policy</w:t>
      </w:r>
    </w:p>
    <w:p>
      <w:pPr>
        <w:pStyle w:val="ListParagraph"/>
        <w:numPr>
          <w:ilvl w:val="0"/>
          <w:numId w:val="3"/>
        </w:numPr>
        <w:spacing w:after="80" w:line="276"/>
      </w:pPr>
      <w:r>
        <w:rPr>
          <w:rFonts w:ascii="Arial" w:cs="Arial" w:eastAsia="Arial" w:hAnsi="Arial"/>
          <w:b/>
          <w:bCs/>
          <w:sz w:val="24"/>
          <w:szCs w:val="24"/>
        </w:rPr>
        <w:t xml:space="preserve">Steel-man: </w:t>
      </w:r>
      <w:r>
        <w:rPr>
          <w:rFonts w:ascii="Arial" w:cs="Arial" w:eastAsia="Arial" w:hAnsi="Arial"/>
          <w:sz w:val="24"/>
          <w:szCs w:val="24"/>
        </w:rPr>
        <w:t xml:space="preserve">Marx’s strongest case is the structural critique of capitalism (alienation, exploitation as surplus value extraction, the tendency of capital to concentrate), the empirical reality of wealth inequality, and the argument that formal political equality is meaningless without material equality.</w:t>
      </w:r>
    </w:p>
    <w:p>
      <w:pPr>
        <w:pStyle w:val="ListParagraph"/>
        <w:numPr>
          <w:ilvl w:val="0"/>
          <w:numId w:val="3"/>
        </w:numPr>
        <w:spacing w:after="80" w:line="276"/>
      </w:pPr>
      <w:r>
        <w:rPr>
          <w:rFonts w:ascii="Arial" w:cs="Arial" w:eastAsia="Arial" w:hAnsi="Arial"/>
          <w:b/>
          <w:bCs/>
          <w:sz w:val="24"/>
          <w:szCs w:val="24"/>
        </w:rPr>
        <w:t xml:space="preserve">Where CR agrees: </w:t>
      </w:r>
      <w:r>
        <w:rPr>
          <w:rFonts w:ascii="Arial" w:cs="Arial" w:eastAsia="Arial" w:hAnsi="Arial"/>
          <w:sz w:val="24"/>
          <w:szCs w:val="24"/>
        </w:rPr>
        <w:t xml:space="preserve">Marx’s diagnostic power is real—Chapter 43 already acknowledges this. Wealth concentration is a coordination failure. Formal rights without material capacity are hollow (Sen’s capability critique). Power asymmetries distort markets.</w:t>
      </w:r>
    </w:p>
    <w:p>
      <w:pPr>
        <w:pStyle w:val="ListParagraph"/>
        <w:numPr>
          <w:ilvl w:val="0"/>
          <w:numId w:val="3"/>
        </w:numPr>
        <w:spacing w:after="80" w:line="276"/>
      </w:pPr>
      <w:r>
        <w:rPr>
          <w:rFonts w:ascii="Arial" w:cs="Arial" w:eastAsia="Arial" w:hAnsi="Arial"/>
          <w:b/>
          <w:bCs/>
          <w:sz w:val="24"/>
          <w:szCs w:val="24"/>
        </w:rPr>
        <w:t xml:space="preserve">Where CR breaks from socialism: </w:t>
      </w:r>
      <w:r>
        <w:rPr>
          <w:rFonts w:ascii="Arial" w:cs="Arial" w:eastAsia="Arial" w:hAnsi="Arial"/>
          <w:sz w:val="24"/>
          <w:szCs w:val="24"/>
        </w:rPr>
        <w:t xml:space="preserve">(a) The knowledge problem (Hayek) is fatal to central planning—no alternative to the price system for aggregating distributed information has been demonstrated to work at scale. (b) The labor theory of value is empirically false—value is subjective and marginal (this is one of the most robust findings in economics). (c) Historical socialist states produced coordination failures worse than the capitalist ones they replaced—the Soviet economy was a Moloch of a different kind. (d) Abolishing private property eliminates the institutional foundation for voluntary exchange, which CR’s framework identifies as a positive-sum coordination mechanism. (e) Revolutionary politics violates the error-correction principle: you cannot test a complete system replacement.</w:t>
      </w:r>
    </w:p>
    <w:p>
      <w:pPr>
        <w:pStyle w:val="ListParagraph"/>
        <w:numPr>
          <w:ilvl w:val="0"/>
          <w:numId w:val="3"/>
        </w:numPr>
        <w:spacing w:after="80" w:line="276"/>
      </w:pPr>
      <w:r>
        <w:rPr>
          <w:rFonts w:ascii="Arial" w:cs="Arial" w:eastAsia="Arial" w:hAnsi="Arial"/>
          <w:b/>
          <w:bCs/>
          <w:sz w:val="24"/>
          <w:szCs w:val="24"/>
        </w:rPr>
        <w:t xml:space="preserve">Policy implications: </w:t>
      </w:r>
      <w:r>
        <w:rPr>
          <w:rFonts w:ascii="Arial" w:cs="Arial" w:eastAsia="Arial" w:hAnsi="Arial"/>
          <w:sz w:val="24"/>
          <w:szCs w:val="24"/>
        </w:rPr>
        <w:t xml:space="preserve">CR rejects both laissez-faire capitalism and socialist central planning. It supports a mixed economy with strong property rights, active externality correction, a capabilities-based safety net, progressive taxation, and countervailing institutions (unions, cooperatives, public options) that check market power without replacing markets.</w:t>
      </w:r>
    </w:p>
    <w:p>
      <w:r>
        <w:br w:type="page"/>
      </w:r>
    </w:p>
    <w:p>
      <w:pPr>
        <w:pStyle w:val="Heading1"/>
        <w:spacing w:after="160" w:before="360"/>
      </w:pPr>
      <w:r>
        <w:rPr>
          <w:rFonts w:ascii="Arial" w:cs="Arial" w:eastAsia="Arial" w:hAnsi="Arial"/>
          <w:b/>
          <w:bCs/>
          <w:sz w:val="36"/>
          <w:szCs w:val="36"/>
        </w:rPr>
        <w:t xml:space="preserve">Part IV: Political and Economic Game Theory Integration</w:t>
      </w:r>
    </w:p>
    <w:p>
      <w:pPr>
        <w:spacing w:after="120" w:line="276"/>
      </w:pPr>
      <w:r>
        <w:rPr>
          <w:rFonts w:ascii="Arial" w:cs="Arial" w:eastAsia="Arial" w:hAnsi="Arial"/>
          <w:sz w:val="24"/>
          <w:szCs w:val="24"/>
        </w:rPr>
        <w:t xml:space="preserve">The first edition covers Prisoner’s Dilemma, Tragedy of the Commons, and Stag Hunt. The second edition must include the full catalog of game-theoretic structures present in real political and economic systems. This material should be integrated into existing chapters (primarily Books II, V, and VI) rather than creating a separate economics textbook.</w:t>
      </w:r>
    </w:p>
    <w:p>
      <w:pPr>
        <w:pStyle w:val="Heading2"/>
        <w:spacing w:after="160" w:before="240"/>
      </w:pPr>
      <w:r>
        <w:rPr>
          <w:rFonts w:ascii="Arial" w:cs="Arial" w:eastAsia="Arial" w:hAnsi="Arial"/>
          <w:b/>
          <w:bCs/>
          <w:sz w:val="30"/>
          <w:szCs w:val="30"/>
        </w:rPr>
        <w:t xml:space="preserve">Games to Add to Book II (The Enemy)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400"/>
        <w:gridCol w:w="24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Game</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Real-World Instance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Moloch Connection</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Chapter Placement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Chicken (Hawk-Dove)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Congressional debt ceiling standoffs; nuclear brinksmanship; union-management strikes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Both sides prefer winning to compromise, but mutual defection is catastrophic. Commitment devices determine outcome.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 7 (add section) + Ch. 23 (war)</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Battle of the Sexes</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International standards coordination (metric vs. imperial); platform choice (VHS/Betamax); regulatory harmonization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Both sides prefer coordination to non-coordination, but disagree on which equilibrium. Focal points are decisive.</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Ch. 7 (Schelling section)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Dictator/Ultimatum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Tax policy design; employer-employee wage setting; international aid conditionality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Reveals fairness norms and willingness to punish at cost—evidence against pure rational self-interest.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 8 (mechanism design)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Public Goods Game</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Tax compliance; open-source contribution; climate mitigation pledges; vaccination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Free-riding is dominant strategy without enforcement. Graduated sanctions (Ostrom) are the proven solution.</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Ch. 6 + Ch. 27 (externalities)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Coordination Game (pure)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Driving on the left/right; language standardization; constitutional conventions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conflict of interest—the problem is purely informational. Schelling focal points solve it.</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 7 (Schelling section)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Auction Games</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Spectrum allocation; government procurement; carbon credit markets; ad bidding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Winner’s curse, revenue equivalence, mechanism design. Connects to prediction markets.</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Ch. 8 (mechanism design)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Signaling Games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Education (Spence), costly signaling in politics, credentialism, virtue signaling vs. costly commitment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Separating vs. pooling equilibria. Directly connects to Chapter 7’s costly signaling section.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 7 + Ch. 20 (democracy)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Principal-Agent</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Voter-politician, shareholder-CEO, citizen-bureaucrat, patient-doctor</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Information asymmetry enables defection. Institutional design (separation of powers, transparency) is the solution.</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Ch. 18 (institutions) + Ch. 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Repeated Games w/ Incomplete Info</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International diplomacy; regulatory enforcement; plea bargaining; reputation markets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Reputation effects, folk theorem, cheap talk vs. costly signals.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 7 (shadow of the future)</w:t>
            </w:r>
          </w:p>
        </w:tc>
      </w:tr>
    </w:tbl>
    <w:p>
      <w:pPr>
        <w:spacing w:after="120" w:line="276"/>
      </w:pPr>
      <w:r>
        <w:rPr>
          <w:rFonts w:ascii="Arial" w:cs="Arial" w:eastAsia="Arial" w:hAnsi="Arial"/>
          <w:sz w:val="24"/>
          <w:szCs w:val="24"/>
        </w:rPr>
        <w:t xml:space="default"/>
      </w:r>
    </w:p>
    <w:p>
      <w:pPr>
        <w:pStyle w:val="Heading2"/>
        <w:spacing w:after="160" w:before="240"/>
      </w:pPr>
      <w:r>
        <w:rPr>
          <w:rFonts w:ascii="Arial" w:cs="Arial" w:eastAsia="Arial" w:hAnsi="Arial"/>
          <w:b/>
          <w:bCs/>
          <w:sz w:val="30"/>
          <w:szCs w:val="30"/>
        </w:rPr>
        <w:t xml:space="preserve">Games to Add to Books V–VI (Political and Economic)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400"/>
        <w:gridCol w:w="24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Game/Structure</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Policy Relevance</w:t>
            </w:r>
          </w:p>
        </w:tc>
        <w:tc>
          <w:tcPr>
            <w:tcW w:type="dxa" w:w="2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Chapter Placement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Monopoly / Market Power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Tech platform dominance; pharmaceutical patents; natural monopolies (utilities)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Deadweight loss, rent-seeking, regulatory capture. Antitrust as anti-Moloch technology.</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 25 + Ch. 27</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Oligopoly (Cournot/Bertrand)</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Airlines, telecom, banking, defense contracting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Tacit collusion, price leadership, barriers to entry. The game-theoretic case for antitrust.</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Ch. 25 (markets section)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Rent-Seeking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Lobbying, regulatory capture, occupational licensing, tariff protection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Resources spent on redistribution rather than production. Tullock’s rectangle. The case for institutional design that makes rent-seeking expensive.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 20 (democracy) + Ch. 25</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Median Voter Theorem</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Two-party convergence, platform positioning, gerrymandering as subversion of MVT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Why democracies tend toward centrist policy but can be pulled by agenda-setting and issue bundling.</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Ch. 20 (democracy)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Arrow’s Impossibility Theorem</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Voting system design, ranked choice vs. approval vs. plurality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voting system satisfies all fairness criteria simultaneously. Institutional design must choose which criteria to sacrifice.</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 20 (add section)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Veto Players (Tsebelis)</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Separation of powers, filibuster, EU qualified majority, bicameralism</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More veto players = more policy stability = less error-correction. The tradeoff between stability and adaptability.</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Ch. 18 (institutions)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Mechanism Design (advanced)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Vickrey-Clarke-Groves for public goods, quadratic voting (Weyl), quadratic funding (Buterin), futarchy (Hanson)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Designing institutions that make truth-telling and cooperation individually rational. The engineering solution to Moloch.</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 8 (expand significantly)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Moral Hazard</w:t>
            </w:r>
          </w:p>
        </w:tc>
        <w:tc>
          <w:tcPr>
            <w:tcW w:type="dxa" w:w="27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Insurance markets, bank bailouts (too big to fail), welfare dependency, executive compensation</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How risk-shifting changes behavior. Central to safety net design (Ch. 28) and financial regulation.</w:t>
            </w:r>
          </w:p>
        </w:tc>
        <w:tc>
          <w:tcPr>
            <w:tcW w:type="dxa" w:w="24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Ch. 27 + Ch. 28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Adverse Selection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Health insurance death spiral, used car markets (Akerlof), credit markets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Information asymmetry destroys markets. The case for mandates and regulation.</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Ch. 27 (info asymmetries)</w:t>
            </w:r>
          </w:p>
        </w:tc>
      </w:tr>
    </w:tbl>
    <w:p>
      <w:pPr>
        <w:spacing w:after="120" w:line="276"/>
      </w:pPr>
      <w:r>
        <w:rPr>
          <w:rFonts w:ascii="Arial" w:cs="Arial" w:eastAsia="Arial" w:hAnsi="Arial"/>
          <w:sz w:val="24"/>
          <w:szCs w:val="24"/>
        </w:rPr>
        <w:t xml:space="default"/>
      </w:r>
    </w:p>
    <w:p>
      <w:r>
        <w:br w:type="page"/>
      </w:r>
    </w:p>
    <w:p>
      <w:pPr>
        <w:pStyle w:val="Heading1"/>
        <w:spacing w:after="160" w:before="360"/>
      </w:pPr>
      <w:r>
        <w:rPr>
          <w:rFonts w:ascii="Arial" w:cs="Arial" w:eastAsia="Arial" w:hAnsi="Arial"/>
          <w:b/>
          <w:bCs/>
          <w:sz w:val="36"/>
          <w:szCs w:val="36"/>
        </w:rPr>
        <w:t xml:space="preserve">Part V: LessWrong and Rationalist Concepts Integration</w:t>
      </w:r>
    </w:p>
    <w:p>
      <w:pPr>
        <w:spacing w:after="120" w:line="276"/>
      </w:pPr>
      <w:r>
        <w:rPr>
          <w:rFonts w:ascii="Arial" w:cs="Arial" w:eastAsia="Arial" w:hAnsi="Arial"/>
          <w:sz w:val="24"/>
          <w:szCs w:val="24"/>
        </w:rPr>
        <w:t xml:space="preserve">The first edition draws heavily on Galef, Kahneman, and Haidt. The second edition should integrate the following concepts from the LessWrong/rationalist canon, keyed to specific chapters.</w:t>
      </w:r>
    </w:p>
    <w:p>
      <w:pPr>
        <w:pStyle w:val="Heading2"/>
        <w:spacing w:after="160" w:before="240"/>
      </w:pPr>
      <w:r>
        <w:rPr>
          <w:rFonts w:ascii="Arial" w:cs="Arial" w:eastAsia="Arial" w:hAnsi="Arial"/>
          <w:b/>
          <w:bCs/>
          <w:sz w:val="30"/>
          <w:szCs w:val="30"/>
        </w:rPr>
        <w:t xml:space="preserve">Concepts for Book I (Foundations)</w:t>
      </w:r>
    </w:p>
    <w:p>
      <w:pPr>
        <w:pStyle w:val="ListParagraph"/>
        <w:numPr>
          <w:ilvl w:val="0"/>
          <w:numId w:val="5"/>
        </w:numPr>
        <w:spacing w:after="80" w:line="276"/>
      </w:pPr>
      <w:r>
        <w:rPr>
          <w:rFonts w:ascii="Arial" w:cs="Arial" w:eastAsia="Arial" w:hAnsi="Arial"/>
          <w:b/>
          <w:bCs/>
          <w:sz w:val="24"/>
          <w:szCs w:val="24"/>
        </w:rPr>
        <w:t xml:space="preserve">Yudkowsky’s Twelve Virtues vs. CR’s Twelve Epistemic Virtues (Chapter 2). </w:t>
      </w:r>
      <w:r>
        <w:rPr>
          <w:rFonts w:ascii="Arial" w:cs="Arial" w:eastAsia="Arial" w:hAnsi="Arial"/>
          <w:sz w:val="24"/>
          <w:szCs w:val="24"/>
        </w:rPr>
        <w:t xml:space="preserve">The first edition’s twelve virtues overlap substantially with Yudkowsky’s list but miss the key Yudkowskian insight: the twelfth virtue is nameless, because “if you knew the name of the twelfth virtue you would already be perfect.” CR should add a discussion of this meta-virtue: the recognition that any list of virtues is itself a map, not the territory, and that the disposition to transcend one’s own framework is the highest epistemic virtue.</w:t>
      </w:r>
    </w:p>
    <w:p>
      <w:pPr>
        <w:pStyle w:val="ListParagraph"/>
        <w:numPr>
          <w:ilvl w:val="0"/>
          <w:numId w:val="5"/>
        </w:numPr>
        <w:spacing w:after="80" w:line="276"/>
      </w:pPr>
      <w:r>
        <w:rPr>
          <w:rFonts w:ascii="Arial" w:cs="Arial" w:eastAsia="Arial" w:hAnsi="Arial"/>
          <w:b/>
          <w:bCs/>
          <w:sz w:val="24"/>
          <w:szCs w:val="24"/>
        </w:rPr>
        <w:t xml:space="preserve">Coherent Extrapolated Volition (Chapter 3). </w:t>
      </w:r>
      <w:r>
        <w:rPr>
          <w:rFonts w:ascii="Arial" w:cs="Arial" w:eastAsia="Arial" w:hAnsi="Arial"/>
          <w:sz w:val="24"/>
          <w:szCs w:val="24"/>
        </w:rPr>
        <w:t xml:space="preserve">Yudkowsky’s CEV—“our wish if we knew more, thought faster, were more the people we wished we were”—is the natural formalization of CR’s reflective equilibrium approach. Add a section arguing that the valence axiom is what CEV would converge on: if humanity knew more and thought more clearly, the suffering principle would survive as a near-universal output. This strengthens the axiom by linking it to Yudkowsky’s most influential metaethical concept.</w:t>
      </w:r>
    </w:p>
    <w:p>
      <w:pPr>
        <w:pStyle w:val="ListParagraph"/>
        <w:numPr>
          <w:ilvl w:val="0"/>
          <w:numId w:val="5"/>
        </w:numPr>
        <w:spacing w:after="80" w:line="276"/>
      </w:pPr>
      <w:r>
        <w:rPr>
          <w:rFonts w:ascii="Arial" w:cs="Arial" w:eastAsia="Arial" w:hAnsi="Arial"/>
          <w:b/>
          <w:bCs/>
          <w:sz w:val="24"/>
          <w:szCs w:val="24"/>
        </w:rPr>
        <w:t xml:space="preserve">Value Complexity Thesis (Chapter 3). </w:t>
      </w:r>
      <w:r>
        <w:rPr>
          <w:rFonts w:ascii="Arial" w:cs="Arial" w:eastAsia="Arial" w:hAnsi="Arial"/>
          <w:sz w:val="24"/>
          <w:szCs w:val="24"/>
        </w:rPr>
        <w:t xml:space="preserve">Yudkowsky’s argument that human values cannot be reduced to a single principle is the most serious challenge to CR’s axiom. The second edition must explicitly engage this: acknowledge that “suffering matters” is a necessary but not sufficient foundation, and that the full system (including autonomy, knowledge, beauty, connection, and the virtues) captures the complexity Yudkowsky identifies. The axiom is the “first among equals,” not the sole value.</w:t>
      </w:r>
    </w:p>
    <w:p>
      <w:pPr>
        <w:pStyle w:val="ListParagraph"/>
        <w:numPr>
          <w:ilvl w:val="0"/>
          <w:numId w:val="5"/>
        </w:numPr>
        <w:spacing w:after="80" w:line="276"/>
      </w:pPr>
      <w:r>
        <w:rPr>
          <w:rFonts w:ascii="Arial" w:cs="Arial" w:eastAsia="Arial" w:hAnsi="Arial"/>
          <w:b/>
          <w:bCs/>
          <w:sz w:val="24"/>
          <w:szCs w:val="24"/>
        </w:rPr>
        <w:t xml:space="preserve">Sequences Concepts for Chapter 2. </w:t>
      </w:r>
      <w:r>
        <w:rPr>
          <w:rFonts w:ascii="Arial" w:cs="Arial" w:eastAsia="Arial" w:hAnsi="Arial"/>
          <w:sz w:val="24"/>
          <w:szCs w:val="24"/>
        </w:rPr>
        <w:t xml:space="preserve">Integrate the following from Yudkowsky’s Sequences: (a) The Bottom Line—your conclusion is already written at the bottom of the page, and your “reasoning” is just filling in the lines above it. This is the most vivid illustration of motivated reasoning. (b) Belief in Belief—the distinction between believing X and believing that you believe X. Many people who claim religious or moral beliefs actually believe-in-belief rather than believing directly. (c) Cached Thoughts—pre-formed responses that bypass genuine reasoning. The second edition should discuss how Mode A rules can become cached thoughts and how the review step of the Daily Algorithm (Chapter 13) prevents this. (d) The Litany of Tarski—“If the box contains a diamond, I desire to believe the box contains a diamond. If the box does not contain a diamond, I desire to believe the box does not contain a diamond.” This is the purest expression of scout mindset and should be quoted in Chapter 2. (e) The Litany of Gendlin—“What is true is already so. Owning up to it doesn’t make it worse.”</w:t>
      </w:r>
    </w:p>
    <w:p>
      <w:pPr>
        <w:pStyle w:val="Heading2"/>
        <w:spacing w:after="160" w:before="240"/>
      </w:pPr>
      <w:r>
        <w:rPr>
          <w:rFonts w:ascii="Arial" w:cs="Arial" w:eastAsia="Arial" w:hAnsi="Arial"/>
          <w:b/>
          <w:bCs/>
          <w:sz w:val="30"/>
          <w:szCs w:val="30"/>
        </w:rPr>
        <w:t xml:space="preserve">Concepts for Book II (The Enemy)</w:t>
      </w:r>
    </w:p>
    <w:p>
      <w:pPr>
        <w:pStyle w:val="ListParagraph"/>
        <w:numPr>
          <w:ilvl w:val="0"/>
          <w:numId w:val="6"/>
        </w:numPr>
        <w:spacing w:after="80" w:line="276"/>
      </w:pPr>
      <w:r>
        <w:rPr>
          <w:rFonts w:ascii="Arial" w:cs="Arial" w:eastAsia="Arial" w:hAnsi="Arial"/>
          <w:b/>
          <w:bCs/>
          <w:sz w:val="24"/>
          <w:szCs w:val="24"/>
        </w:rPr>
        <w:t xml:space="preserve">Meditations on Moloch (Scott Alexander). </w:t>
      </w:r>
      <w:r>
        <w:rPr>
          <w:rFonts w:ascii="Arial" w:cs="Arial" w:eastAsia="Arial" w:hAnsi="Arial"/>
          <w:sz w:val="24"/>
          <w:szCs w:val="24"/>
        </w:rPr>
        <w:t xml:space="preserve">The first edition uses the Moloch concept but should make the connection to Alexander’s original 2014 essay explicit. Key additions: (a) Alexander’s catalog of Moloch’s domains (arms races, tragedy of the commons, multipolar traps, race to the bottom) is more comprehensive than the first edition’s coverage. (b) Alexander’s proposed solution—Elua, the god of flowers, representing values and beauty and everything humans care about—should be discussed as the positive vision CR offers. (c) The concept of “multipolar traps” (situations where no single actor can unilaterally improve the outcome) should be added as a formal category.</w:t>
      </w:r>
    </w:p>
    <w:p>
      <w:pPr>
        <w:pStyle w:val="ListParagraph"/>
        <w:numPr>
          <w:ilvl w:val="0"/>
          <w:numId w:val="6"/>
        </w:numPr>
        <w:spacing w:after="80" w:line="276"/>
      </w:pPr>
      <w:r>
        <w:rPr>
          <w:rFonts w:ascii="Arial" w:cs="Arial" w:eastAsia="Arial" w:hAnsi="Arial"/>
          <w:b/>
          <w:bCs/>
          <w:sz w:val="24"/>
          <w:szCs w:val="24"/>
        </w:rPr>
        <w:t xml:space="preserve">Inadequate Equilibria (Yudkowsky). </w:t>
      </w:r>
      <w:r>
        <w:rPr>
          <w:rFonts w:ascii="Arial" w:cs="Arial" w:eastAsia="Arial" w:hAnsi="Arial"/>
          <w:sz w:val="24"/>
          <w:szCs w:val="24"/>
        </w:rPr>
        <w:t xml:space="preserve">Yudkowsky’s 2017 book provides a framework for identifying when you should trust your own judgment over expert consensus (when you can identify the specific mechanism producing the inadequate equilibrium). This directly supports CR’s Mode B logic: you should deviate from rules (including the rule “trust experts”) when you can identify the specific coordination failure that makes the default response inadequate. Add a section to Chapter 10 on when to trust yourself vs. defer to consensus, using Yudkowsky’s criteria.</w:t>
      </w:r>
    </w:p>
    <w:p>
      <w:pPr>
        <w:pStyle w:val="Heading2"/>
        <w:spacing w:after="160" w:before="240"/>
      </w:pPr>
      <w:r>
        <w:rPr>
          <w:rFonts w:ascii="Arial" w:cs="Arial" w:eastAsia="Arial" w:hAnsi="Arial"/>
          <w:b/>
          <w:bCs/>
          <w:sz w:val="30"/>
          <w:szCs w:val="30"/>
        </w:rPr>
        <w:t xml:space="preserve">Concepts for Book III (Moral Architecture)</w:t>
      </w:r>
    </w:p>
    <w:p>
      <w:pPr>
        <w:pStyle w:val="ListParagraph"/>
        <w:numPr>
          <w:ilvl w:val="0"/>
          <w:numId w:val="7"/>
        </w:numPr>
        <w:spacing w:after="80" w:line="276"/>
      </w:pPr>
      <w:r>
        <w:rPr>
          <w:rFonts w:ascii="Arial" w:cs="Arial" w:eastAsia="Arial" w:hAnsi="Arial"/>
          <w:b/>
          <w:bCs/>
          <w:sz w:val="24"/>
          <w:szCs w:val="24"/>
        </w:rPr>
        <w:t xml:space="preserve">Goodhart’s Law. </w:t>
      </w:r>
      <w:r>
        <w:rPr>
          <w:rFonts w:ascii="Arial" w:cs="Arial" w:eastAsia="Arial" w:hAnsi="Arial"/>
          <w:sz w:val="24"/>
          <w:szCs w:val="24"/>
        </w:rPr>
        <w:t xml:space="preserve">“When a measure becomes a target, it ceases to be a good measure.” This is the deepest challenge to any rule-based system: Mode A rules, once formalized, become targets for gaming and optimization. Add to Chapter 9 a discussion of how CR resists Goodharting: (a) multiple overlapping rules that are hard to game simultaneously, (b) the virtue layer as a check on rule-following, (c) the Mode B override as a release valve when rules are being Goodharted.</w:t>
      </w:r>
    </w:p>
    <w:p>
      <w:pPr>
        <w:pStyle w:val="ListParagraph"/>
        <w:numPr>
          <w:ilvl w:val="0"/>
          <w:numId w:val="7"/>
        </w:numPr>
        <w:spacing w:after="80" w:line="276"/>
      </w:pPr>
      <w:r>
        <w:rPr>
          <w:rFonts w:ascii="Arial" w:cs="Arial" w:eastAsia="Arial" w:hAnsi="Arial"/>
          <w:b/>
          <w:bCs/>
          <w:sz w:val="24"/>
          <w:szCs w:val="24"/>
        </w:rPr>
        <w:t xml:space="preserve">Moloch and Slack (Zvi Mowshowitz). </w:t>
      </w:r>
      <w:r>
        <w:rPr>
          <w:rFonts w:ascii="Arial" w:cs="Arial" w:eastAsia="Arial" w:hAnsi="Arial"/>
          <w:sz w:val="24"/>
          <w:szCs w:val="24"/>
        </w:rPr>
        <w:t xml:space="preserve">Zvi’s concept of “slack”—the capacity to deviate from locally optimal behavior in order to maintain strategic flexibility—is essential for CR’s Mode A/B architecture. Mode A rules create slack by preventing constant consequentialist recalculation. Slack is what makes Mode B possible: an agent with no slack (fully optimized, no room for deviation) cannot switch modes. Add this concept to Chapter 10.</w:t>
      </w:r>
    </w:p>
    <w:p>
      <w:pPr>
        <w:pStyle w:val="ListParagraph"/>
        <w:numPr>
          <w:ilvl w:val="0"/>
          <w:numId w:val="7"/>
        </w:numPr>
        <w:spacing w:after="80" w:line="276"/>
      </w:pPr>
      <w:r>
        <w:rPr>
          <w:rFonts w:ascii="Arial" w:cs="Arial" w:eastAsia="Arial" w:hAnsi="Arial"/>
          <w:b/>
          <w:bCs/>
          <w:sz w:val="24"/>
          <w:szCs w:val="24"/>
        </w:rPr>
        <w:t xml:space="preserve">Moral Mazes (Zvi Mowshowitz / Jackall). </w:t>
      </w:r>
      <w:r>
        <w:rPr>
          <w:rFonts w:ascii="Arial" w:cs="Arial" w:eastAsia="Arial" w:hAnsi="Arial"/>
          <w:sz w:val="24"/>
          <w:szCs w:val="24"/>
        </w:rPr>
        <w:t xml:space="preserve">The phenomenon where organizations develop internal moral systems that diverge from external morality. This is a Moloch-at-the-institutional-level and should be added to Chapter 18 (Institutional Design) as a failure mode that error-correction mechanisms must address.</w:t>
      </w:r>
    </w:p>
    <w:p>
      <w:pPr>
        <w:pStyle w:val="Heading2"/>
        <w:spacing w:after="160" w:before="240"/>
      </w:pPr>
      <w:r>
        <w:rPr>
          <w:rFonts w:ascii="Arial" w:cs="Arial" w:eastAsia="Arial" w:hAnsi="Arial"/>
          <w:b/>
          <w:bCs/>
          <w:sz w:val="30"/>
          <w:szCs w:val="30"/>
        </w:rPr>
        <w:t xml:space="preserve">Concepts for Books V–VI (Political and Economic)</w:t>
      </w:r>
    </w:p>
    <w:p>
      <w:pPr>
        <w:pStyle w:val="ListParagraph"/>
        <w:numPr>
          <w:ilvl w:val="0"/>
          <w:numId w:val="8"/>
        </w:numPr>
        <w:spacing w:after="80" w:line="276"/>
      </w:pPr>
      <w:r>
        <w:rPr>
          <w:rFonts w:ascii="Arial" w:cs="Arial" w:eastAsia="Arial" w:hAnsi="Arial"/>
          <w:b/>
          <w:bCs/>
          <w:sz w:val="24"/>
          <w:szCs w:val="24"/>
        </w:rPr>
        <w:t xml:space="preserve">Futarchy (Robin Hanson). </w:t>
      </w:r>
      <w:r>
        <w:rPr>
          <w:rFonts w:ascii="Arial" w:cs="Arial" w:eastAsia="Arial" w:hAnsi="Arial"/>
          <w:sz w:val="24"/>
          <w:szCs w:val="24"/>
        </w:rPr>
        <w:t xml:space="preserve">Expand Chapter 20’s coverage of prediction markets to include Hanson’s full futarchy proposal: “Vote on values, bet on beliefs.” This is the most direct application of mechanism design to democratic governance. Discuss both the promise and the known failure modes (conditional markets confuse correlation with causation, market manipulation, thin markets for long-term outcomes).</w:t>
      </w:r>
    </w:p>
    <w:p>
      <w:pPr>
        <w:pStyle w:val="ListParagraph"/>
        <w:numPr>
          <w:ilvl w:val="0"/>
          <w:numId w:val="8"/>
        </w:numPr>
        <w:spacing w:after="80" w:line="276"/>
      </w:pPr>
      <w:r>
        <w:rPr>
          <w:rFonts w:ascii="Arial" w:cs="Arial" w:eastAsia="Arial" w:hAnsi="Arial"/>
          <w:b/>
          <w:bCs/>
          <w:sz w:val="24"/>
          <w:szCs w:val="24"/>
        </w:rPr>
        <w:t xml:space="preserve">Quadratic Voting and Quadratic Funding (Weyl, Buterin). </w:t>
      </w:r>
      <w:r>
        <w:rPr>
          <w:rFonts w:ascii="Arial" w:cs="Arial" w:eastAsia="Arial" w:hAnsi="Arial"/>
          <w:sz w:val="24"/>
          <w:szCs w:val="24"/>
        </w:rPr>
        <w:t xml:space="preserve">These mechanism-design innovations allow preference intensity to be expressed in democratic decision-making while preserving equal voice. Add to Chapter 20 as concrete institutional reform proposals that CR endorses.</w:t>
      </w:r>
    </w:p>
    <w:p>
      <w:pPr>
        <w:pStyle w:val="ListParagraph"/>
        <w:numPr>
          <w:ilvl w:val="0"/>
          <w:numId w:val="8"/>
        </w:numPr>
        <w:spacing w:after="80" w:line="276"/>
      </w:pPr>
      <w:r>
        <w:rPr>
          <w:rFonts w:ascii="Arial" w:cs="Arial" w:eastAsia="Arial" w:hAnsi="Arial"/>
          <w:b/>
          <w:bCs/>
          <w:sz w:val="24"/>
          <w:szCs w:val="24"/>
        </w:rPr>
        <w:t xml:space="preserve">The Unilateralist’s Curse. </w:t>
      </w:r>
      <w:r>
        <w:rPr>
          <w:rFonts w:ascii="Arial" w:cs="Arial" w:eastAsia="Arial" w:hAnsi="Arial"/>
          <w:sz w:val="24"/>
          <w:szCs w:val="24"/>
        </w:rPr>
        <w:t xml:space="preserve">In situations where any single actor can take an irreversible action, the most risk-tolerant actor determines the outcome. This applies to nuclear weapons, gain-of-function research, AI development, and geoengineering. Add to Chapter 31 (Existential Risk) and Chapter 23 (War) as a formal concept.</w:t>
      </w:r>
    </w:p>
    <w:p>
      <w:pPr>
        <w:pStyle w:val="Heading2"/>
        <w:spacing w:after="160" w:before="240"/>
      </w:pPr>
      <w:r>
        <w:rPr>
          <w:rFonts w:ascii="Arial" w:cs="Arial" w:eastAsia="Arial" w:hAnsi="Arial"/>
          <w:b/>
          <w:bCs/>
          <w:sz w:val="30"/>
          <w:szCs w:val="30"/>
        </w:rPr>
        <w:t xml:space="preserve">Concepts for Book VII (The Frontier)</w:t>
      </w:r>
    </w:p>
    <w:p>
      <w:pPr>
        <w:pStyle w:val="ListParagraph"/>
        <w:numPr>
          <w:ilvl w:val="0"/>
          <w:numId w:val="9"/>
        </w:numPr>
        <w:spacing w:after="80" w:line="276"/>
      </w:pPr>
      <w:r>
        <w:rPr>
          <w:rFonts w:ascii="Arial" w:cs="Arial" w:eastAsia="Arial" w:hAnsi="Arial"/>
          <w:b/>
          <w:bCs/>
          <w:sz w:val="24"/>
          <w:szCs w:val="24"/>
        </w:rPr>
        <w:t xml:space="preserve">Yudkowsky’s AI Alignment Position (Chapter 32). </w:t>
      </w:r>
      <w:r>
        <w:rPr>
          <w:rFonts w:ascii="Arial" w:cs="Arial" w:eastAsia="Arial" w:hAnsi="Arial"/>
          <w:sz w:val="24"/>
          <w:szCs w:val="24"/>
        </w:rPr>
        <w:t xml:space="preserve">Update Chapter 32 to engage with Yudkowsky’s increasingly pessimistic position. Key claims to address: (a) alignment is harder than most researchers assume, (b) current approaches (RLHF, constitutional AI) are insufficient for superintelligent systems, (c) the default outcome of misaligned superintelligence is extinction, not merely suboptimal outcomes. CR should engage this seriously without either dismissing it or accepting it uncritically.</w:t>
      </w:r>
    </w:p>
    <w:p>
      <w:pPr>
        <w:pStyle w:val="ListParagraph"/>
        <w:numPr>
          <w:ilvl w:val="0"/>
          <w:numId w:val="9"/>
        </w:numPr>
        <w:spacing w:after="80" w:line="276"/>
      </w:pPr>
      <w:r>
        <w:rPr>
          <w:rFonts w:ascii="Arial" w:cs="Arial" w:eastAsia="Arial" w:hAnsi="Arial"/>
          <w:b/>
          <w:bCs/>
          <w:sz w:val="24"/>
          <w:szCs w:val="24"/>
        </w:rPr>
        <w:t xml:space="preserve">Consciousness and Moral Status of AI (Chapter 32). </w:t>
      </w:r>
      <w:r>
        <w:rPr>
          <w:rFonts w:ascii="Arial" w:cs="Arial" w:eastAsia="Arial" w:hAnsi="Arial"/>
          <w:sz w:val="24"/>
          <w:szCs w:val="24"/>
        </w:rPr>
        <w:t xml:space="preserve">Yudkowsky’s skepticism about phenomenal consciousness—his argument that consciousness may require something like a “cognitively reflective, self-modely thing”—directly challenges CR’s valence foundation. If we cannot determine whether an AI system is conscious, we cannot apply the valence axiom. The second edition must develop explicit criteria for moral status under uncertainty about consciousness, using a precautionary approach calibrated to the probability of sentience.</w:t>
      </w:r>
    </w:p>
    <w:p>
      <w:r>
        <w:br w:type="page"/>
      </w:r>
    </w:p>
    <w:p>
      <w:pPr>
        <w:pStyle w:val="Heading1"/>
        <w:spacing w:after="160" w:before="360"/>
      </w:pPr>
      <w:r>
        <w:rPr>
          <w:rFonts w:ascii="Arial" w:cs="Arial" w:eastAsia="Arial" w:hAnsi="Arial"/>
          <w:b/>
          <w:bCs/>
          <w:sz w:val="36"/>
          <w:szCs w:val="36"/>
        </w:rPr>
        <w:t xml:space="preserve">Part VI: Implementation Timeline and Priorities</w:t>
      </w:r>
    </w:p>
    <w:p>
      <w:pPr>
        <w:pStyle w:val="Heading2"/>
        <w:spacing w:after="160" w:before="240"/>
      </w:pPr>
      <w:r>
        <w:rPr>
          <w:rFonts w:ascii="Arial" w:cs="Arial" w:eastAsia="Arial" w:hAnsi="Arial"/>
          <w:b/>
          <w:bCs/>
          <w:sz w:val="30"/>
          <w:szCs w:val="30"/>
        </w:rPr>
        <w:t xml:space="preserve">Priority Tiers</w:t>
      </w:r>
    </w:p>
    <w:p>
      <w:pPr>
        <w:spacing w:after="120" w:line="276"/>
      </w:pPr>
      <w:r>
        <w:rPr>
          <w:rFonts w:ascii="Arial" w:cs="Arial" w:eastAsia="Arial" w:hAnsi="Arial"/>
          <w:b/>
          <w:bCs/>
          <w:sz w:val="24"/>
          <w:szCs w:val="24"/>
        </w:rPr>
        <w:t xml:space="preserve">Tier 1 (Critical — do first, ~40% of total effort): </w:t>
      </w:r>
      <w:r>
        <w:rPr>
          <w:rFonts w:ascii="Arial" w:cs="Arial" w:eastAsia="Arial" w:hAnsi="Arial"/>
          <w:sz w:val="24"/>
          <w:szCs w:val="24"/>
        </w:rPr>
        <w:t xml:space="preserve">These repairs and additions close the vulnerabilities that would allow a skilled opponent to defeat the system.</w:t>
      </w:r>
    </w:p>
    <w:p>
      <w:pPr>
        <w:pStyle w:val="ListParagraph"/>
        <w:numPr>
          <w:ilvl w:val="0"/>
          <w:numId w:val="4"/>
        </w:numPr>
        <w:spacing w:after="80" w:line="276"/>
      </w:pPr>
      <w:r>
        <w:rPr>
          <w:rFonts w:ascii="Arial" w:cs="Arial" w:eastAsia="Arial" w:hAnsi="Arial"/>
          <w:sz w:val="24"/>
          <w:szCs w:val="24"/>
        </w:rPr>
        <w:t xml:space="preserve">Repair 1: Strengthen the axiom (Chapter 3). This is the single most important revision because everything else depends on it.</w:t>
      </w:r>
    </w:p>
    <w:p>
      <w:pPr>
        <w:pStyle w:val="ListParagraph"/>
        <w:numPr>
          <w:ilvl w:val="0"/>
          <w:numId w:val="4"/>
        </w:numPr>
        <w:spacing w:after="80" w:line="276"/>
      </w:pPr>
      <w:r>
        <w:rPr>
          <w:rFonts w:ascii="Arial" w:cs="Arial" w:eastAsia="Arial" w:hAnsi="Arial"/>
          <w:sz w:val="24"/>
          <w:szCs w:val="24"/>
        </w:rPr>
        <w:t xml:space="preserve">Repair 3: Bound the game-theoretic framing (Book II). Without this, care ethicists and virtue ethicists have a devastating critique.</w:t>
      </w:r>
    </w:p>
    <w:p>
      <w:pPr>
        <w:pStyle w:val="ListParagraph"/>
        <w:numPr>
          <w:ilvl w:val="0"/>
          <w:numId w:val="4"/>
        </w:numPr>
        <w:spacing w:after="80" w:line="276"/>
      </w:pPr>
      <w:r>
        <w:rPr>
          <w:rFonts w:ascii="Arial" w:cs="Arial" w:eastAsia="Arial" w:hAnsi="Arial"/>
          <w:sz w:val="24"/>
          <w:szCs w:val="24"/>
        </w:rPr>
        <w:t xml:space="preserve">New Chapter: The Care Layer. Closes the biggest blind spot.</w:t>
      </w:r>
    </w:p>
    <w:p>
      <w:pPr>
        <w:pStyle w:val="ListParagraph"/>
        <w:numPr>
          <w:ilvl w:val="0"/>
          <w:numId w:val="4"/>
        </w:numPr>
        <w:spacing w:after="80" w:line="276"/>
      </w:pPr>
      <w:r>
        <w:rPr>
          <w:rFonts w:ascii="Arial" w:cs="Arial" w:eastAsia="Arial" w:hAnsi="Arial"/>
          <w:sz w:val="24"/>
          <w:szCs w:val="24"/>
        </w:rPr>
        <w:t xml:space="preserve">Repair 2: Resolve the mode-switching regress (Chapter 10). Without this, any opponent can ask “Who decides?” and the system has no answer.</w:t>
      </w:r>
    </w:p>
    <w:p>
      <w:pPr>
        <w:spacing w:after="120" w:line="276"/>
      </w:pPr>
      <w:r>
        <w:rPr>
          <w:rFonts w:ascii="Arial" w:cs="Arial" w:eastAsia="Arial" w:hAnsi="Arial"/>
          <w:b/>
          <w:bCs/>
          <w:sz w:val="24"/>
          <w:szCs w:val="24"/>
        </w:rPr>
        <w:t xml:space="preserve">Tier 2 (Important — ~35% of effort): </w:t>
      </w:r>
      <w:r>
        <w:rPr>
          <w:rFonts w:ascii="Arial" w:cs="Arial" w:eastAsia="Arial" w:hAnsi="Arial"/>
          <w:sz w:val="24"/>
          <w:szCs w:val="24"/>
        </w:rPr>
        <w:t xml:space="preserve">These additions make the system capable of generating specific policy positions.</w:t>
      </w:r>
    </w:p>
    <w:p>
      <w:pPr>
        <w:pStyle w:val="ListParagraph"/>
        <w:numPr>
          <w:ilvl w:val="0"/>
          <w:numId w:val="5"/>
        </w:numPr>
        <w:spacing w:after="80" w:line="276"/>
      </w:pPr>
      <w:r>
        <w:rPr>
          <w:rFonts w:ascii="Arial" w:cs="Arial" w:eastAsia="Arial" w:hAnsi="Arial"/>
          <w:sz w:val="24"/>
          <w:szCs w:val="24"/>
        </w:rPr>
        <w:t xml:space="preserve">New Chapter: Ideology Stress-Tests (libertarian, conservative, progressive, socialist).</w:t>
      </w:r>
    </w:p>
    <w:p>
      <w:pPr>
        <w:pStyle w:val="ListParagraph"/>
        <w:numPr>
          <w:ilvl w:val="0"/>
          <w:numId w:val="5"/>
        </w:numPr>
        <w:spacing w:after="80" w:line="276"/>
      </w:pPr>
      <w:r>
        <w:rPr>
          <w:rFonts w:ascii="Arial" w:cs="Arial" w:eastAsia="Arial" w:hAnsi="Arial"/>
          <w:sz w:val="24"/>
          <w:szCs w:val="24"/>
        </w:rPr>
        <w:t xml:space="preserve">Game theory integration (all new games from Part IV tables).</w:t>
      </w:r>
    </w:p>
    <w:p>
      <w:pPr>
        <w:pStyle w:val="ListParagraph"/>
        <w:numPr>
          <w:ilvl w:val="0"/>
          <w:numId w:val="5"/>
        </w:numPr>
        <w:spacing w:after="80" w:line="276"/>
      </w:pPr>
      <w:r>
        <w:rPr>
          <w:rFonts w:ascii="Arial" w:cs="Arial" w:eastAsia="Arial" w:hAnsi="Arial"/>
          <w:sz w:val="24"/>
          <w:szCs w:val="24"/>
        </w:rPr>
        <w:t xml:space="preserve">LessWrong concepts integration (Part V, all sections).</w:t>
      </w:r>
    </w:p>
    <w:p>
      <w:pPr>
        <w:spacing w:after="120" w:line="276"/>
      </w:pPr>
      <w:r>
        <w:rPr>
          <w:rFonts w:ascii="Arial" w:cs="Arial" w:eastAsia="Arial" w:hAnsi="Arial"/>
          <w:b/>
          <w:bCs/>
          <w:sz w:val="24"/>
          <w:szCs w:val="24"/>
        </w:rPr>
        <w:t xml:space="preserve">Tier 3 (Strengthening — ~25% of effort): </w:t>
      </w:r>
      <w:r>
        <w:rPr>
          <w:rFonts w:ascii="Arial" w:cs="Arial" w:eastAsia="Arial" w:hAnsi="Arial"/>
          <w:sz w:val="24"/>
          <w:szCs w:val="24"/>
        </w:rPr>
        <w:t xml:space="preserve">These upgrades move the system from “defensible” to “dominant.”</w:t>
      </w:r>
    </w:p>
    <w:p>
      <w:pPr>
        <w:pStyle w:val="ListParagraph"/>
        <w:numPr>
          <w:ilvl w:val="0"/>
          <w:numId w:val="6"/>
        </w:numPr>
        <w:spacing w:after="80" w:line="276"/>
      </w:pPr>
      <w:r>
        <w:rPr>
          <w:rFonts w:ascii="Arial" w:cs="Arial" w:eastAsia="Arial" w:hAnsi="Arial"/>
          <w:sz w:val="24"/>
          <w:szCs w:val="24"/>
        </w:rPr>
        <w:t xml:space="preserve">Repair 4: Formalize the Position Registry.</w:t>
      </w:r>
    </w:p>
    <w:p>
      <w:pPr>
        <w:pStyle w:val="ListParagraph"/>
        <w:numPr>
          <w:ilvl w:val="0"/>
          <w:numId w:val="6"/>
        </w:numPr>
        <w:spacing w:after="80" w:line="276"/>
      </w:pPr>
      <w:r>
        <w:rPr>
          <w:rFonts w:ascii="Arial" w:cs="Arial" w:eastAsia="Arial" w:hAnsi="Arial"/>
          <w:sz w:val="24"/>
          <w:szCs w:val="24"/>
        </w:rPr>
        <w:t xml:space="preserve">Repair 5: Resolve the MacIntyre contradiction.</w:t>
      </w:r>
    </w:p>
    <w:p>
      <w:pPr>
        <w:pStyle w:val="ListParagraph"/>
        <w:numPr>
          <w:ilvl w:val="0"/>
          <w:numId w:val="6"/>
        </w:numPr>
        <w:spacing w:after="80" w:line="276"/>
      </w:pPr>
      <w:r>
        <w:rPr>
          <w:rFonts w:ascii="Arial" w:cs="Arial" w:eastAsia="Arial" w:hAnsi="Arial"/>
          <w:sz w:val="24"/>
          <w:szCs w:val="24"/>
        </w:rPr>
        <w:t xml:space="preserve">Expanded non-Western traditions engagement (Confucian role ethics, Buddhist phenomenology, Ubuntu philosophy).</w:t>
      </w:r>
    </w:p>
    <w:p>
      <w:pPr>
        <w:pStyle w:val="ListParagraph"/>
        <w:numPr>
          <w:ilvl w:val="0"/>
          <w:numId w:val="6"/>
        </w:numPr>
        <w:spacing w:after="80" w:line="276"/>
      </w:pPr>
      <w:r>
        <w:rPr>
          <w:rFonts w:ascii="Arial" w:cs="Arial" w:eastAsia="Arial" w:hAnsi="Arial"/>
          <w:sz w:val="24"/>
          <w:szCs w:val="24"/>
        </w:rPr>
        <w:t xml:space="preserve">Moral uncertainty framework (MacAskill’s MEC) as a formal appendix.</w:t>
      </w:r>
    </w:p>
    <w:p>
      <w:pPr>
        <w:pStyle w:val="ListParagraph"/>
        <w:numPr>
          <w:ilvl w:val="0"/>
          <w:numId w:val="6"/>
        </w:numPr>
        <w:spacing w:after="80" w:line="276"/>
      </w:pPr>
      <w:r>
        <w:rPr>
          <w:rFonts w:ascii="Arial" w:cs="Arial" w:eastAsia="Arial" w:hAnsi="Arial"/>
          <w:sz w:val="24"/>
          <w:szCs w:val="24"/>
        </w:rPr>
        <w:t xml:space="preserve">Community adoption infrastructure (CR Week, graduated engagement paths, practical exercises).</w:t>
      </w:r>
    </w:p>
    <w:p>
      <w:pPr>
        <w:pStyle w:val="Heading2"/>
        <w:spacing w:after="160" w:before="240"/>
      </w:pPr>
      <w:r>
        <w:rPr>
          <w:rFonts w:ascii="Arial" w:cs="Arial" w:eastAsia="Arial" w:hAnsi="Arial"/>
          <w:b/>
          <w:bCs/>
          <w:sz w:val="30"/>
          <w:szCs w:val="30"/>
        </w:rPr>
        <w:t xml:space="preserve">Estimated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Est. Word Count</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 Level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Foundational Repairs (5 repairs to existing chapters)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15,000–20,000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High (requires careful philosophical argumentation)</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Care Layer (new chapter)</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8,000–10,000</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High (new philosophical territory)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Ideology Stress-Tests (new chapter)</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12,000–15,000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Medium–High (requires policy research)</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Game Theory Integration (across multiple chapters)</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8,000–12,000</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Medium (formal structures are well-defined)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LessWrong/Rationalist Integration (across multiple chapters)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6,000–8,000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 (concepts are well-documented)</w:t>
            </w:r>
          </w:p>
        </w:tc>
      </w:tr>
      <w:tr>
        <w:tc>
          <w:tcPr>
            <w:tcW w:type="dxa" w:w="4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Position Registry Technical Specification (new appendix)</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3,000–4,000</w:t>
            </w:r>
          </w:p>
        </w:tc>
        <w:tc>
          <w:tcPr>
            <w:tcW w:type="dxa" w:w="2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pPr>
              <w:spacing w:after="40"/>
            </w:pPr>
            <w:r>
              <w:rPr>
                <w:rFonts w:ascii="Arial" w:cs="Arial" w:eastAsia="Arial" w:hAnsi="Arial"/>
                <w:sz w:val="20"/>
                <w:szCs w:val="20"/>
              </w:rPr>
              <w:t xml:space="preserve">Medium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Non-Western Traditions Expansion</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4,000–6,000</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Medium–High (requires careful scholarship)</w:t>
            </w:r>
          </w:p>
        </w:tc>
      </w:tr>
      <w:tr>
        <w:tc>
          <w:tcPr>
            <w:tcW w:type="dxa" w:w="4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40"/>
            </w:pPr>
            <w:r>
              <w:rPr>
                <w:rFonts w:ascii="Arial" w:cs="Arial" w:eastAsia="Arial" w:hAnsi="Arial"/>
                <w:b/>
                <w:bCs/>
                <w:sz w:val="24"/>
                <w:szCs w:val="24"/>
              </w:rPr>
              <w:t xml:space="preserve">TOTAL</w:t>
            </w:r>
          </w:p>
        </w:tc>
        <w:tc>
          <w:tcPr>
            <w:tcW w:type="dxa" w:w="2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40"/>
            </w:pPr>
            <w:r>
              <w:rPr>
                <w:rFonts w:ascii="Arial" w:cs="Arial" w:eastAsia="Arial" w:hAnsi="Arial"/>
                <w:b/>
                <w:bCs/>
                <w:sz w:val="24"/>
                <w:szCs w:val="24"/>
              </w:rPr>
              <w:t xml:space="preserve">56,000–75,000 new words</w:t>
            </w:r>
          </w:p>
        </w:tc>
        <w:tc>
          <w:tcPr>
            <w:tcW w:type="dxa" w:w="26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pPr>
              <w:spacing w:after="40"/>
            </w:pPr>
            <w:r>
              <w:rPr>
                <w:rFonts w:ascii="Arial" w:cs="Arial" w:eastAsia="Arial" w:hAnsi="Arial"/>
                <w:b/>
                <w:bCs/>
                <w:sz w:val="24"/>
                <w:szCs w:val="24"/>
              </w:rPr>
              <w:t xml:space="preserve">~200–300 hours of writing</w:t>
            </w:r>
          </w:p>
        </w:tc>
      </w:tr>
    </w:tbl>
    <w:p>
      <w:pPr>
        <w:spacing w:after="120" w:line="276"/>
      </w:pPr>
      <w:r>
        <w:rPr>
          <w:rFonts w:ascii="Arial" w:cs="Arial" w:eastAsia="Arial" w:hAnsi="Arial"/>
          <w:sz w:val="24"/>
          <w:szCs w:val="24"/>
        </w:rPr>
        <w:t xml:space="default"/>
      </w:r>
    </w:p>
    <w:p>
      <w:pPr>
        <w:pStyle w:val="Heading2"/>
        <w:spacing w:after="160" w:before="240"/>
      </w:pPr>
      <w:r>
        <w:rPr>
          <w:rFonts w:ascii="Arial" w:cs="Arial" w:eastAsia="Arial" w:hAnsi="Arial"/>
          <w:b/>
          <w:bCs/>
          <w:sz w:val="30"/>
          <w:szCs w:val="30"/>
        </w:rPr>
        <w:t xml:space="preserve">Success Criteria</w:t>
      </w:r>
    </w:p>
    <w:p>
      <w:pPr>
        <w:spacing w:after="120" w:line="276"/>
      </w:pPr>
      <w:r>
        <w:rPr>
          <w:rFonts w:ascii="Arial" w:cs="Arial" w:eastAsia="Arial" w:hAnsi="Arial"/>
          <w:sz w:val="24"/>
          <w:szCs w:val="24"/>
        </w:rPr>
        <w:t xml:space="preserve">The second edition will be considered successful when it meets the following tests:</w:t>
      </w:r>
    </w:p>
    <w:p>
      <w:pPr>
        <w:pStyle w:val="ListParagraph"/>
        <w:numPr>
          <w:ilvl w:val="0"/>
          <w:numId w:val="7"/>
        </w:numPr>
        <w:spacing w:after="80" w:line="276"/>
      </w:pPr>
      <w:r>
        <w:rPr>
          <w:rFonts w:ascii="Arial" w:cs="Arial" w:eastAsia="Arial" w:hAnsi="Arial"/>
          <w:sz w:val="24"/>
          <w:szCs w:val="24"/>
        </w:rPr>
        <w:t xml:space="preserve">No opponent can defeat the system by attacking the axiom alone (three-layered grounding makes it resilient to any single line of attack).</w:t>
      </w:r>
    </w:p>
    <w:p>
      <w:pPr>
        <w:pStyle w:val="ListParagraph"/>
        <w:numPr>
          <w:ilvl w:val="0"/>
          <w:numId w:val="7"/>
        </w:numPr>
        <w:spacing w:after="80" w:line="276"/>
      </w:pPr>
      <w:r>
        <w:rPr>
          <w:rFonts w:ascii="Arial" w:cs="Arial" w:eastAsia="Arial" w:hAnsi="Arial"/>
          <w:sz w:val="24"/>
          <w:szCs w:val="24"/>
        </w:rPr>
        <w:t xml:space="preserve">The system generates specific, defensible policy positions on every major issue and shows why they outperform the positions of all four major ideological camps.</w:t>
      </w:r>
    </w:p>
    <w:p>
      <w:pPr>
        <w:pStyle w:val="ListParagraph"/>
        <w:numPr>
          <w:ilvl w:val="0"/>
          <w:numId w:val="7"/>
        </w:numPr>
        <w:spacing w:after="80" w:line="276"/>
      </w:pPr>
      <w:r>
        <w:rPr>
          <w:rFonts w:ascii="Arial" w:cs="Arial" w:eastAsia="Arial" w:hAnsi="Arial"/>
          <w:sz w:val="24"/>
          <w:szCs w:val="24"/>
        </w:rPr>
        <w:t xml:space="preserve">A skilled advocate can pass Bryan Caplan’s Ideological Turing Test for every rival system the framework engages.</w:t>
      </w:r>
    </w:p>
    <w:p>
      <w:pPr>
        <w:pStyle w:val="ListParagraph"/>
        <w:numPr>
          <w:ilvl w:val="0"/>
          <w:numId w:val="7"/>
        </w:numPr>
        <w:spacing w:after="80" w:line="276"/>
      </w:pPr>
      <w:r>
        <w:rPr>
          <w:rFonts w:ascii="Arial" w:cs="Arial" w:eastAsia="Arial" w:hAnsi="Arial"/>
          <w:sz w:val="24"/>
          <w:szCs w:val="24"/>
        </w:rPr>
        <w:t xml:space="preserve">The game-theoretic analysis covers every major coordination structure present in real political and economic systems.</w:t>
      </w:r>
    </w:p>
    <w:p>
      <w:pPr>
        <w:pStyle w:val="ListParagraph"/>
        <w:numPr>
          <w:ilvl w:val="0"/>
          <w:numId w:val="7"/>
        </w:numPr>
        <w:spacing w:after="80" w:line="276"/>
      </w:pPr>
      <w:r>
        <w:rPr>
          <w:rFonts w:ascii="Arial" w:cs="Arial" w:eastAsia="Arial" w:hAnsi="Arial"/>
          <w:sz w:val="24"/>
          <w:szCs w:val="24"/>
        </w:rPr>
        <w:t xml:space="preserve">The LessWrong/rationalist community would recognize the system as a serious contribution to the rationalist project rather than a popularization.</w:t>
      </w:r>
    </w:p>
    <w:p>
      <w:pPr>
        <w:pStyle w:val="ListParagraph"/>
        <w:numPr>
          <w:ilvl w:val="0"/>
          <w:numId w:val="7"/>
        </w:numPr>
        <w:spacing w:after="80" w:line="276"/>
      </w:pPr>
      <w:r>
        <w:rPr>
          <w:rFonts w:ascii="Arial" w:cs="Arial" w:eastAsia="Arial" w:hAnsi="Arial"/>
          <w:sz w:val="24"/>
          <w:szCs w:val="24"/>
        </w:rPr>
        <w:t xml:space="preserve">The system has a plausible adoption pathway that doesn’t require readers to become professional philosophers.</w:t>
      </w:r>
    </w:p>
    <w:p>
      <w:pPr>
        <w:pBdr>
          <w:bottom w:val="single" w:color="2E75B6" w:sz="6" w:space="1"/>
        </w:pBdr>
        <w:spacing w:after="200" w:before="200"/>
      </w:pPr>
    </w:p>
    <w:p>
      <w:pPr>
        <w:spacing w:after="120" w:line="276"/>
      </w:pPr>
      <w:r>
        <w:rPr>
          <w:rFonts w:ascii="Arial" w:cs="Arial" w:eastAsia="Arial" w:hAnsi="Arial"/>
          <w:sz w:val="24"/>
          <w:szCs w:val="24"/>
        </w:rPr>
        <w:t xml:space="defaul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2026-04-06T18:01:30.418Z</dcterms:created>
  <dcterms:modified xsi:type="dcterms:W3CDTF">2026-04-06T18:01:30.419Z</dcterms:modified>
</cp:coreProperties>
</file>

<file path=docProps/custom.xml><?xml version="1.0" encoding="utf-8"?>
<Properties xmlns="http://schemas.openxmlformats.org/officeDocument/2006/custom-properties" xmlns:vt="http://schemas.openxmlformats.org/officeDocument/2006/docPropsVTypes"/>
</file>