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GERENCIAMENTO DE RESÍDUOS SÓLIDOS (PGRS)</w:t>
      </w:r>
    </w:p>
    <w:p>
      <w:r>
        <w:t>EMPRESA: {RAZAO}</w:t>
      </w:r>
    </w:p>
    <w:p>
      <w:r>
        <w:t>CNPJ: {CNPJ}</w:t>
      </w:r>
    </w:p>
    <w:p>
      <w:r>
        <w:t>DATA: {DATA_HOJE}</w:t>
      </w:r>
    </w:p>
    <w:p>
      <w:pPr>
        <w:pStyle w:val="Heading1"/>
      </w:pPr>
      <w:r>
        <w:t>1. INTRODUÇÃO</w:t>
      </w:r>
    </w:p>
    <w:p>
      <w:r>
        <w:t>O presente plano visa estabelecer diretrizes para o manejo adequado dos resíduos gerados na atividade.</w:t>
      </w:r>
    </w:p>
    <w:p>
      <w:pPr>
        <w:pStyle w:val="Heading1"/>
      </w:pPr>
      <w:r>
        <w:t>2. INVENTÁRIO DE RESÍDUOS</w:t>
      </w:r>
    </w:p>
    <w:p>
      <w:r>
        <w:t>Abaixo listamos os resíduos gerados e suas respectivas destinações:</w:t>
      </w:r>
    </w:p>
    <w:p>
      <w:r>
        <w:t>{TABELA_RESIDUOS}</w:t>
      </w:r>
    </w:p>
    <w:p>
      <w:pPr>
        <w:pStyle w:val="Heading1"/>
      </w:pPr>
      <w:r>
        <w:t>3. RESPONSABILIDADE</w:t>
      </w:r>
    </w:p>
    <w:p>
      <w:r>
        <w:t>A empresa se compromete a seguir as normas da Lei 12.305/2010.</w:t>
      </w:r>
    </w:p>
    <w:p>
      <w:r>
        <w:br/>
        <w:br/>
        <w:t>____________________________________________________</w:t>
      </w:r>
    </w:p>
    <w:p>
      <w:r>
        <w:t>Responsável Técnico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