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25C74557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 xml:space="preserve">SOLAR FOTOVOLTAICO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 xml:space="preserve"/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</w:t>
      </w:r>
      <w:r w:rsidR="00735E24" w:rsidRPr="003328E1">
        <w:rPr>
          <w:rFonts w:ascii="Arial" w:hAnsi="Arial" w:cs="Arial"/>
          <w:b/>
          <w:color w:val="000000"/>
          <w:sz w:val="20"/>
          <w:szCs w:val="20"/>
          <w:u w:val="single"/>
        </w:rPr>
        <w:t>TENSÃO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EM </w:t>
      </w:r>
      <w:r w:rsidR="003328E1" w:rsidRPr="003328E1">
        <w:rPr>
          <w:rFonts w:ascii="Arial" w:hAnsi="Arial" w:cs="Arial"/>
          <w:b/>
          <w:sz w:val="20"/>
          <w:szCs w:val="20"/>
        </w:rPr>
        <w:t xml:space="preserve">380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28E1">
        <w:rPr>
          <w:rFonts w:ascii="Arial" w:hAnsi="Arial" w:cs="Arial"/>
          <w:b/>
          <w:color w:val="000000"/>
          <w:sz w:val="20"/>
          <w:szCs w:val="20"/>
        </w:rPr>
        <w:t xml:space="preserve">V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3328E1">
        <w:rPr>
          <w:rFonts w:ascii="Arial" w:hAnsi="Arial" w:cs="Arial"/>
          <w:b/>
          <w:sz w:val="20"/>
          <w:szCs w:val="20"/>
        </w:rPr>
        <w:t xml:space="preserve">AUTOCONSUMO REMOTO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411177DA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 xml:space="preserve">fulano de tal</w:t>
      </w:r>
    </w:p>
    <w:p w14:paraId="51E9CA11" w14:textId="1F16811F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364A69" w:rsidRPr="00364A69">
        <w:rPr>
          <w:rFonts w:ascii="Arial" w:hAnsi="Arial" w:cs="Arial"/>
          <w:b/>
          <w:sz w:val="20"/>
          <w:szCs w:val="20"/>
        </w:rPr>
        <w:t xml:space="preserve">3062015349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97A70E3" w:rsidR="00BF6FF2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 xml:space="preserve">CARLOS MIGUEL</w:t>
      </w:r>
    </w:p>
    <w:p w14:paraId="580769D3" w14:textId="7E67828E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 xml:space="preserve">Engenheiro Eletricista</w:t>
      </w:r>
    </w:p>
    <w:p w14:paraId="2F73A7C2" w14:textId="3DF66198" w:rsidR="00466866" w:rsidRPr="00364A69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REGISTRO</w:t>
      </w:r>
      <w:r w:rsidR="00466866" w:rsidRPr="00364A69">
        <w:rPr>
          <w:rFonts w:ascii="Arial" w:hAnsi="Arial" w:cs="Arial"/>
          <w:b/>
          <w:sz w:val="20"/>
          <w:szCs w:val="20"/>
        </w:rPr>
        <w:t xml:space="preserve">: </w:t>
      </w:r>
      <w:r w:rsidR="00364A69">
        <w:rPr>
          <w:rFonts w:ascii="Arial" w:hAnsi="Arial" w:cs="Arial"/>
          <w:b/>
          <w:sz w:val="20"/>
          <w:szCs w:val="20"/>
        </w:rPr>
        <w:t xml:space="preserve">12412512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2C9B2A69" w:rsidR="00466866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Teresina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PI</w:t>
      </w:r>
    </w:p>
    <w:p w14:paraId="3E06DEFB" w14:textId="53884058" w:rsidR="00C4437F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 xml:space="preserve">outubro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2022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>: Corrente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>em amp</w:t>
      </w:r>
      <w:r>
        <w:rPr>
          <w:rFonts w:ascii="Arial" w:hAnsi="Arial" w:cs="Arial"/>
          <w:color w:val="000000"/>
          <w:sz w:val="20"/>
          <w:szCs w:val="20"/>
        </w:rPr>
        <w:t>éres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Ist: Corrento de curto-circuito de módulo fotovoltaico em </w:t>
      </w:r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kWp: kilo-watt pico</w:t>
      </w:r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kWh: kilo-watt-hora</w:t>
      </w:r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MicroGD: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PR: Pára-raio</w:t>
      </w:r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Voc: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22539CB3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54071A" w:rsidRPr="0054071A">
        <w:rPr>
          <w:rFonts w:ascii="Arial" w:hAnsi="Arial" w:cs="Arial"/>
          <w:sz w:val="20"/>
          <w:szCs w:val="20"/>
        </w:rPr>
        <w:t xml:space="preserve">Equatorial Piauí,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54071A">
        <w:rPr>
          <w:rFonts w:ascii="Arial" w:hAnsi="Arial" w:cs="Arial"/>
          <w:color w:val="000000"/>
          <w:sz w:val="20"/>
          <w:szCs w:val="20"/>
        </w:rPr>
        <w:t xml:space="preserve">de um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635B8D" w:rsidRPr="00210557">
        <w:rPr>
          <w:rFonts w:ascii="Arial" w:hAnsi="Arial" w:cs="Arial"/>
          <w:b/>
          <w:sz w:val="20"/>
          <w:szCs w:val="20"/>
        </w:rPr>
        <w:t xml:space="preserve">SOLAR FOTOVOLTAICO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635B8D" w:rsidRPr="00210557">
        <w:rPr>
          <w:rFonts w:ascii="Arial" w:hAnsi="Arial" w:cs="Arial"/>
          <w:b/>
          <w:sz w:val="20"/>
          <w:szCs w:val="20"/>
        </w:rPr>
        <w:t xml:space="preserve"/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635B8D">
        <w:rPr>
          <w:rFonts w:ascii="Arial" w:hAnsi="Arial" w:cs="Arial"/>
          <w:b/>
          <w:sz w:val="20"/>
          <w:szCs w:val="20"/>
        </w:rPr>
        <w:t xml:space="preserve">AUTOCONSUMO REMOTO.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519CAC0A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D40BC0" w:rsidRPr="00D40BC0">
        <w:rPr>
          <w:rFonts w:ascii="Arial" w:hAnsi="Arial" w:cs="Arial"/>
          <w:sz w:val="20"/>
          <w:szCs w:val="20"/>
        </w:rPr>
        <w:t xml:space="preserve">Piauí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IEC 62116: Procedimento de Ensaio de Anti-ilhamento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NT.001.EQTL.Normas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r w:rsidRPr="00CA6AE9">
        <w:rPr>
          <w:rFonts w:ascii="Arial" w:hAnsi="Arial" w:cs="Arial"/>
          <w:color w:val="000000"/>
          <w:sz w:val="20"/>
          <w:szCs w:val="20"/>
        </w:rPr>
        <w:t>NT.030.EQTL.Normas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(hidríca, biomassa, resíduos, cogeração, etc)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E3C1D10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895288</w:t>
      </w:r>
    </w:p>
    <w:p w14:paraId="57C7041F" w14:textId="0F1FCD96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B1</w:t>
      </w:r>
    </w:p>
    <w:p w14:paraId="08F5F5BA" w14:textId="5DA41A53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noProof/>
          <w:color w:val="000000"/>
          <w:sz w:val="20"/>
          <w:szCs w:val="20"/>
        </w:rPr>
        <w:t xml:space="preserve">NOME</w:t>
      </w:r>
    </w:p>
    <w:p w14:paraId="5EE09997" w14:textId="158AF3BF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 xml:space="preserve"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RUA NAPOLEAO LIMA - 1674 JOQUEI CLUBE</w:t>
      </w:r>
    </w:p>
    <w:p w14:paraId="69711875" w14:textId="00A47C4D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Número de identificação do poste e/ou transformador mais próximo: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SN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Coordenadas georrefenciadas: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10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(A*B)/1000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[G = CxF]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[H = ExF]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1D5120A9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 xml:space="preserve"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 xml:space="preserve">trifásico à quatro condutores, sendo </w:t>
      </w:r>
      <w:r w:rsidR="002C77A6" w:rsidRPr="007534D8">
        <w:rPr>
          <w:rFonts w:ascii="Arial" w:hAnsi="Arial" w:cs="Arial"/>
          <w:sz w:val="20"/>
          <w:szCs w:val="20"/>
        </w:rPr>
        <w:t xml:space="preserve">três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</w:t>
      </w:r>
      <w:bookmarkStart w:id="9" w:name="_Hlk117363694"/>
      <w:r w:rsidR="002C77A6">
        <w:rPr>
          <w:rFonts w:ascii="Arial" w:hAnsi="Arial" w:cs="Arial"/>
          <w:color w:val="000000"/>
          <w:sz w:val="20"/>
          <w:szCs w:val="20"/>
        </w:rPr>
        <w:t xml:space="preserve">10</w:t>
      </w:r>
      <w:bookmarkEnd w:id="9"/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2C77A6">
        <w:rPr>
          <w:rFonts w:ascii="Arial" w:hAnsi="Arial" w:cs="Arial"/>
          <w:color w:val="000000"/>
          <w:sz w:val="20"/>
          <w:szCs w:val="20"/>
        </w:rPr>
        <w:t xml:space="preserve">10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2C77A6" w:rsidRPr="002C77A6">
        <w:rPr>
          <w:rFonts w:ascii="Arial" w:hAnsi="Arial" w:cs="Arial"/>
          <w:sz w:val="20"/>
          <w:szCs w:val="20"/>
        </w:rPr>
        <w:t xml:space="preserve">380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2C77A6" w:rsidRPr="002C77A6">
        <w:rPr>
          <w:rFonts w:ascii="Arial" w:hAnsi="Arial" w:cs="Arial"/>
          <w:sz w:val="20"/>
          <w:szCs w:val="20"/>
        </w:rPr>
        <w:t xml:space="preserve">Piauí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10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NT.001.EQTL.Normas e Padrões da Equatorial Energia, com as seguintes características:</w:t>
      </w:r>
    </w:p>
    <w:p w14:paraId="2D159335" w14:textId="609210E6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NÚMERO DE POLOS: </w:t>
      </w:r>
      <w:r w:rsidR="00325535">
        <w:rPr>
          <w:rFonts w:ascii="Arial" w:hAnsi="Arial" w:cs="Arial"/>
          <w:color w:val="000000"/>
          <w:sz w:val="20"/>
          <w:szCs w:val="20"/>
        </w:rPr>
        <w:t xml:space="preserve">3</w:t>
      </w:r>
    </w:p>
    <w:p w14:paraId="2FBD2788" w14:textId="38CD84C0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 w:rsidR="00325535" w:rsidRPr="002C77A6">
        <w:rPr>
          <w:rFonts w:ascii="Arial" w:hAnsi="Arial" w:cs="Arial"/>
          <w:sz w:val="20"/>
          <w:szCs w:val="20"/>
        </w:rPr>
        <w:t xml:space="preserve">380</w:t>
      </w:r>
      <w:r>
        <w:rPr>
          <w:rFonts w:ascii="Arial" w:hAnsi="Arial" w:cs="Arial"/>
          <w:color w:val="000000"/>
          <w:sz w:val="20"/>
          <w:szCs w:val="20"/>
        </w:rPr>
        <w:t xml:space="preserve">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1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microGD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NF)/1000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2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>ização, facilidade de acesso e l</w:t>
      </w:r>
      <w:r w:rsidR="005B66F7">
        <w:rPr>
          <w:rFonts w:ascii="Arial" w:hAnsi="Arial" w:cs="Arial"/>
          <w:color w:val="000000"/>
          <w:sz w:val="20"/>
          <w:szCs w:val="20"/>
        </w:rPr>
        <w:t xml:space="preserve">ay-out,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0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3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3"/>
    </w:p>
    <w:p w14:paraId="139CF318" w14:textId="1C37508B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="00B42320" w:rsidRPr="00B42320">
        <w:rPr>
          <w:rFonts w:ascii="Arial" w:hAnsi="Arial" w:cs="Arial"/>
          <w:sz w:val="20"/>
          <w:szCs w:val="20"/>
        </w:rPr>
        <w:t xml:space="preserve">trifásico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="00B42320">
        <w:rPr>
          <w:rFonts w:ascii="Arial" w:hAnsi="Arial" w:cs="Arial"/>
          <w:color w:val="000000"/>
          <w:sz w:val="20"/>
          <w:szCs w:val="20"/>
        </w:rPr>
        <w:t xml:space="preserve">quatro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condutores, sendo </w:t>
      </w:r>
      <w:r w:rsidR="00B42320" w:rsidRPr="00B42320">
        <w:rPr>
          <w:rFonts w:ascii="Arial" w:hAnsi="Arial" w:cs="Arial"/>
          <w:sz w:val="20"/>
          <w:szCs w:val="20"/>
        </w:rPr>
        <w:t xml:space="preserve">três</w:t>
      </w:r>
      <w:r w:rsidR="00B42320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condutor(es) FASE de diâmetro nominal </w:t>
      </w:r>
      <w:r w:rsidR="00B42320" w:rsidRPr="00B42320">
        <w:rPr>
          <w:rFonts w:ascii="Arial" w:hAnsi="Arial" w:cs="Arial"/>
          <w:color w:val="000000"/>
          <w:sz w:val="20"/>
          <w:szCs w:val="20"/>
        </w:rPr>
        <w:t xml:space="preserve">10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B42320">
        <w:rPr>
          <w:rFonts w:ascii="Arial" w:hAnsi="Arial" w:cs="Arial"/>
          <w:color w:val="000000"/>
          <w:sz w:val="20"/>
          <w:szCs w:val="20"/>
        </w:rPr>
        <w:t xml:space="preserve">10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="00B42320">
        <w:rPr>
          <w:rFonts w:ascii="Arial" w:hAnsi="Arial" w:cs="Arial"/>
          <w:color w:val="000000"/>
          <w:sz w:val="20"/>
          <w:szCs w:val="20"/>
        </w:rPr>
        <w:t xml:space="preserve">380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4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5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CANADIANSOLAR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CS3W-445MS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ência nominal – Pn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445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de circuito aberto – Voc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48.9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Corrente de curto circuito – Isc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11.54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de máxima potência – Vpmp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40.9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Corrente de máxima potência – Ipmp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10.89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20.1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2.108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1.048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2.209184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27.9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9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4.005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3AD497DC" w:rsidR="005A5752" w:rsidRPr="00C42961" w:rsidRDefault="00CC136C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/>
            </w: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ência nominal – Pn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potência na entrada CC – Pmax-cc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CC – Vcc-máx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corrente CC – Icc-máx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MPPT – Vpmp-máx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Mínima tensão MPPT – Vpmp-min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CC de partida – Vcc-part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Quantidade de Strings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2465C062" w:rsidR="00034300" w:rsidRPr="00C42961" w:rsidRDefault="00542BAA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Saída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nominal CA – Pca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potência na saída CA – Pca-máx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corrente na saída CA – Imáx-ca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nominal CA – Vnon-ca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Frequência nominal – Fn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CA – Vca-máx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Mínima tensão CA – Vca-min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6" w:name="_Toc15047096"/>
      <w:bookmarkStart w:id="17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6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8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9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>Número de pólos: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0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20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r>
        <w:rPr>
          <w:rFonts w:ascii="Arial" w:hAnsi="Arial" w:cs="Arial"/>
          <w:color w:val="000000"/>
          <w:sz w:val="20"/>
          <w:szCs w:val="20"/>
        </w:rPr>
        <w:t xml:space="preserve">DPSs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isolamento, bitola, etc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subfrequência (81U) e sobrefrequência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 (78 e 81 df/dt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7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Material: Policarbonato com aditivos anti-raios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004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 Elétricos contendo: planta de situação, diagrama funcional, arranjos físicos ou lay-out,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C77A6"/>
    <w:rsid w:val="002F6238"/>
    <w:rsid w:val="00325535"/>
    <w:rsid w:val="0032741A"/>
    <w:rsid w:val="003328E1"/>
    <w:rsid w:val="00364A69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4071A"/>
    <w:rsid w:val="00542BAA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35B8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2320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136C"/>
    <w:rsid w:val="00CC22F2"/>
    <w:rsid w:val="00CC2E87"/>
    <w:rsid w:val="00CD59F8"/>
    <w:rsid w:val="00CE2849"/>
    <w:rsid w:val="00D04ADA"/>
    <w:rsid w:val="00D23AE6"/>
    <w:rsid w:val="00D40BC0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2662</Words>
  <Characters>14375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12</cp:revision>
  <dcterms:created xsi:type="dcterms:W3CDTF">2019-09-19T18:22:00Z</dcterms:created>
  <dcterms:modified xsi:type="dcterms:W3CDTF">2022-10-27T14:17:00Z</dcterms:modified>
</cp:coreProperties>
</file>