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04"/>
      </w:tblGrid>
      <w:tr w:rsidR="00430377" w:rsidRPr="00430377" w:rsidTr="00430377">
        <w:trPr>
          <w:tblCellSpacing w:w="15" w:type="dxa"/>
        </w:trPr>
        <w:tc>
          <w:tcPr>
            <w:tcW w:w="0" w:type="auto"/>
            <w:vAlign w:val="center"/>
            <w:hideMark/>
          </w:tcPr>
          <w:p w:rsidR="00430377" w:rsidRPr="00430377" w:rsidRDefault="00430377" w:rsidP="00430377">
            <w:pPr>
              <w:spacing w:after="0" w:line="240" w:lineRule="auto"/>
              <w:rPr>
                <w:rFonts w:ascii="Times New Roman" w:eastAsia="Times New Roman" w:hAnsi="Times New Roman" w:cs="Times New Roman"/>
                <w:sz w:val="24"/>
                <w:szCs w:val="24"/>
                <w:lang w:eastAsia="pt-BR"/>
              </w:rPr>
            </w:pPr>
            <w:r w:rsidRPr="00430377">
              <w:rPr>
                <w:rFonts w:ascii="Arial" w:eastAsia="Times New Roman" w:hAnsi="Arial" w:cs="Arial"/>
                <w:sz w:val="28"/>
                <w:szCs w:val="28"/>
                <w:lang w:eastAsia="pt-BR"/>
              </w:rPr>
              <w:t xml:space="preserve">PODER JUDICIÁRIO </w:t>
            </w:r>
            <w:r w:rsidRPr="00430377">
              <w:rPr>
                <w:rFonts w:ascii="Times New Roman" w:eastAsia="Times New Roman" w:hAnsi="Times New Roman" w:cs="Times New Roman"/>
                <w:sz w:val="24"/>
                <w:szCs w:val="24"/>
                <w:lang w:eastAsia="pt-BR"/>
              </w:rPr>
              <w:br/>
            </w:r>
            <w:r w:rsidRPr="00430377">
              <w:rPr>
                <w:rFonts w:ascii="Arial" w:eastAsia="Times New Roman" w:hAnsi="Arial" w:cs="Arial"/>
                <w:sz w:val="28"/>
                <w:szCs w:val="28"/>
                <w:lang w:eastAsia="pt-BR"/>
              </w:rPr>
              <w:t xml:space="preserve">JUSTIÇA DO TRABALHO </w:t>
            </w:r>
            <w:r w:rsidRPr="00430377">
              <w:rPr>
                <w:rFonts w:ascii="Times New Roman" w:eastAsia="Times New Roman" w:hAnsi="Times New Roman" w:cs="Times New Roman"/>
                <w:sz w:val="24"/>
                <w:szCs w:val="24"/>
                <w:lang w:eastAsia="pt-BR"/>
              </w:rPr>
              <w:br/>
            </w:r>
            <w:r w:rsidRPr="00430377">
              <w:rPr>
                <w:rFonts w:ascii="Arial" w:eastAsia="Times New Roman" w:hAnsi="Arial" w:cs="Arial"/>
                <w:sz w:val="24"/>
                <w:szCs w:val="24"/>
                <w:lang w:eastAsia="pt-BR"/>
              </w:rPr>
              <w:t xml:space="preserve">TRIBUNAL REGIONAL DO TRABALHO DA 16ª REGIÃO </w:t>
            </w:r>
            <w:r w:rsidRPr="00430377">
              <w:rPr>
                <w:rFonts w:ascii="Times New Roman" w:eastAsia="Times New Roman" w:hAnsi="Times New Roman" w:cs="Times New Roman"/>
                <w:sz w:val="24"/>
                <w:szCs w:val="24"/>
                <w:lang w:eastAsia="pt-BR"/>
              </w:rPr>
              <w:br/>
            </w:r>
            <w:r w:rsidRPr="00430377">
              <w:rPr>
                <w:rFonts w:ascii="Arial" w:eastAsia="Times New Roman" w:hAnsi="Arial" w:cs="Arial"/>
                <w:sz w:val="24"/>
                <w:szCs w:val="24"/>
                <w:lang w:eastAsia="pt-BR"/>
              </w:rPr>
              <w:t>Vara do Trabalho de Barra do Corda</w:t>
            </w:r>
            <w:r w:rsidRPr="00430377">
              <w:rPr>
                <w:rFonts w:ascii="Times New Roman" w:eastAsia="Times New Roman" w:hAnsi="Times New Roman" w:cs="Times New Roman"/>
                <w:sz w:val="24"/>
                <w:szCs w:val="24"/>
                <w:lang w:eastAsia="pt-BR"/>
              </w:rPr>
              <w:t xml:space="preserve"> </w:t>
            </w:r>
            <w:r w:rsidRPr="00430377">
              <w:rPr>
                <w:rFonts w:ascii="Times New Roman" w:eastAsia="Times New Roman" w:hAnsi="Times New Roman" w:cs="Times New Roman"/>
                <w:sz w:val="24"/>
                <w:szCs w:val="24"/>
                <w:lang w:eastAsia="pt-BR"/>
              </w:rPr>
              <w:br/>
            </w:r>
            <w:r w:rsidRPr="00430377">
              <w:rPr>
                <w:rFonts w:ascii="Arial" w:eastAsia="Times New Roman" w:hAnsi="Arial" w:cs="Arial"/>
                <w:sz w:val="24"/>
                <w:szCs w:val="24"/>
                <w:lang w:eastAsia="pt-BR"/>
              </w:rPr>
              <w:t>ACC 0016198-52.2019.5.16.0010</w:t>
            </w:r>
            <w:r w:rsidRPr="00430377">
              <w:rPr>
                <w:rFonts w:ascii="Times New Roman" w:eastAsia="Times New Roman" w:hAnsi="Times New Roman" w:cs="Times New Roman"/>
                <w:sz w:val="24"/>
                <w:szCs w:val="24"/>
                <w:lang w:eastAsia="pt-BR"/>
              </w:rPr>
              <w:t xml:space="preserve"> </w:t>
            </w:r>
            <w:r w:rsidRPr="00430377">
              <w:rPr>
                <w:rFonts w:ascii="Times New Roman" w:eastAsia="Times New Roman" w:hAnsi="Times New Roman" w:cs="Times New Roman"/>
                <w:sz w:val="24"/>
                <w:szCs w:val="24"/>
                <w:lang w:eastAsia="pt-BR"/>
              </w:rPr>
              <w:br/>
            </w:r>
            <w:r w:rsidRPr="00430377">
              <w:rPr>
                <w:rFonts w:ascii="Arial" w:eastAsia="Times New Roman" w:hAnsi="Arial" w:cs="Arial"/>
                <w:sz w:val="24"/>
                <w:szCs w:val="24"/>
                <w:lang w:eastAsia="pt-BR"/>
              </w:rPr>
              <w:t xml:space="preserve">AUTOR: SINDICATO DOS TRABALHADORES EM EDUCACAO BASICA DAS REDES PUBLICAS ESTADUAL E MUNICIPAIS DO ESTADO DO MARANHAO </w:t>
            </w:r>
            <w:r w:rsidRPr="00430377">
              <w:rPr>
                <w:rFonts w:ascii="Times New Roman" w:eastAsia="Times New Roman" w:hAnsi="Times New Roman" w:cs="Times New Roman"/>
                <w:sz w:val="24"/>
                <w:szCs w:val="24"/>
                <w:lang w:eastAsia="pt-BR"/>
              </w:rPr>
              <w:br/>
            </w:r>
            <w:r w:rsidRPr="00430377">
              <w:rPr>
                <w:rFonts w:ascii="Arial" w:eastAsia="Times New Roman" w:hAnsi="Arial" w:cs="Arial"/>
                <w:sz w:val="24"/>
                <w:szCs w:val="24"/>
                <w:lang w:eastAsia="pt-BR"/>
              </w:rPr>
              <w:t xml:space="preserve">RÉU: MUNICIPIO DE BARRA DO CORDA </w:t>
            </w:r>
          </w:p>
        </w:tc>
      </w:tr>
    </w:tbl>
    <w:p w:rsidR="00430377" w:rsidRPr="00430377" w:rsidRDefault="00430377" w:rsidP="00430377">
      <w:pPr>
        <w:spacing w:before="100" w:beforeAutospacing="1" w:after="100" w:afterAutospacing="1" w:line="240" w:lineRule="auto"/>
        <w:jc w:val="both"/>
        <w:rPr>
          <w:rFonts w:ascii="Arial" w:eastAsia="Times New Roman" w:hAnsi="Arial" w:cs="Arial"/>
          <w:sz w:val="24"/>
          <w:szCs w:val="24"/>
          <w:lang w:eastAsia="pt-BR"/>
        </w:rPr>
      </w:pPr>
      <w:r w:rsidRPr="00430377">
        <w:rPr>
          <w:rFonts w:ascii="Arial" w:eastAsia="Times New Roman" w:hAnsi="Arial" w:cs="Arial"/>
          <w:sz w:val="27"/>
          <w:szCs w:val="27"/>
          <w:lang w:eastAsia="pt-BR"/>
        </w:rPr>
        <w:t>Vistos, etc.</w:t>
      </w:r>
    </w:p>
    <w:p w:rsidR="00430377" w:rsidRPr="00430377" w:rsidRDefault="00430377" w:rsidP="00430377">
      <w:pPr>
        <w:spacing w:before="100" w:beforeAutospacing="1" w:after="100" w:afterAutospacing="1" w:line="240" w:lineRule="auto"/>
        <w:jc w:val="both"/>
        <w:rPr>
          <w:rFonts w:ascii="Arial" w:eastAsia="Times New Roman" w:hAnsi="Arial" w:cs="Arial"/>
          <w:sz w:val="24"/>
          <w:szCs w:val="24"/>
          <w:lang w:eastAsia="pt-BR"/>
        </w:rPr>
      </w:pPr>
      <w:r w:rsidRPr="00430377">
        <w:rPr>
          <w:rFonts w:ascii="Arial" w:eastAsia="Times New Roman" w:hAnsi="Arial" w:cs="Arial"/>
          <w:sz w:val="27"/>
          <w:szCs w:val="27"/>
          <w:lang w:eastAsia="pt-BR"/>
        </w:rPr>
        <w:t>Trata-se de ação civil coletiva com pedido de tutela de urgência, movida pelo SINDICATO DOS TRABALHADORES EM EDUCAÇÃO BÁSICA DAS REDES PÚBLICAS ESTADUAL E MUNICIPAIS, DO ESTADO DO MARANHÃO - NUCLEO BARRA DO CORDA/MA, em face do MUNICIPIO DE BARRA DO CORDA/MA.</w:t>
      </w:r>
    </w:p>
    <w:p w:rsidR="00430377" w:rsidRPr="00430377" w:rsidRDefault="00430377" w:rsidP="00430377">
      <w:pPr>
        <w:spacing w:before="100" w:beforeAutospacing="1" w:after="100" w:afterAutospacing="1" w:line="240" w:lineRule="auto"/>
        <w:jc w:val="both"/>
        <w:rPr>
          <w:rFonts w:ascii="Arial" w:eastAsia="Times New Roman" w:hAnsi="Arial" w:cs="Arial"/>
          <w:sz w:val="24"/>
          <w:szCs w:val="24"/>
          <w:lang w:eastAsia="pt-BR"/>
        </w:rPr>
      </w:pPr>
      <w:r w:rsidRPr="00430377">
        <w:rPr>
          <w:rFonts w:ascii="Arial" w:eastAsia="Times New Roman" w:hAnsi="Arial" w:cs="Arial"/>
          <w:sz w:val="27"/>
          <w:szCs w:val="27"/>
          <w:lang w:eastAsia="pt-BR"/>
        </w:rPr>
        <w:t>Aduz a parte Autora que na qualidade de legítima representante da categoria dos trabalhadores em educação básica das redes públicas estadual e municipal, age para que a entidade a que vinculados os seus filiados mantenha os descontos em folha decorrentes das mensalidades sindicais, na mesma sistemática que vigorava antes do advento da Medida Provisória 873, de 1º de março de 2019, a qual revogou dispositivos da Lei 8.112, de 1990, e da Consolidação das Leis do Trabalho, que impôs ao servidor o ônus de recolher as contribuições mediante boleto bancário.</w:t>
      </w:r>
    </w:p>
    <w:p w:rsidR="00430377" w:rsidRPr="00430377" w:rsidRDefault="00430377" w:rsidP="00430377">
      <w:pPr>
        <w:spacing w:before="100" w:beforeAutospacing="1" w:after="100" w:afterAutospacing="1" w:line="240" w:lineRule="auto"/>
        <w:jc w:val="both"/>
        <w:rPr>
          <w:rFonts w:ascii="Arial" w:eastAsia="Times New Roman" w:hAnsi="Arial" w:cs="Arial"/>
          <w:sz w:val="24"/>
          <w:szCs w:val="24"/>
          <w:lang w:eastAsia="pt-BR"/>
        </w:rPr>
      </w:pPr>
      <w:r w:rsidRPr="00430377">
        <w:rPr>
          <w:rFonts w:ascii="Arial" w:eastAsia="Times New Roman" w:hAnsi="Arial" w:cs="Arial"/>
          <w:sz w:val="27"/>
          <w:szCs w:val="27"/>
          <w:lang w:eastAsia="pt-BR"/>
        </w:rPr>
        <w:t>Argumenta que a MP n. 873/2019 revela a sua desproporcionalidade constitucional, pois o seu excesso legislativo inevitavelmente inviabilizará o funcionamento das entidades sindicais. Evidencia os vícios formais da aludida norma diante da ausência de urgência e relevância, carecendo da excepcionalidade indispensável ao exercício dessa competência constitucional. Levanta, ainda, a inconstitucionalidade material da regra, sob o fundamento de que o inciso IV do artigo 8º da Constituição da República assegura às entidades sindicais o desconto em folha das suas contribuições, o que fulmina as alterações da Medida Provisória 873, de 2019.</w:t>
      </w:r>
    </w:p>
    <w:p w:rsidR="00430377" w:rsidRPr="00430377" w:rsidRDefault="00430377" w:rsidP="00430377">
      <w:pPr>
        <w:spacing w:before="100" w:beforeAutospacing="1" w:after="100" w:afterAutospacing="1" w:line="240" w:lineRule="auto"/>
        <w:jc w:val="both"/>
        <w:rPr>
          <w:rFonts w:ascii="Arial" w:eastAsia="Times New Roman" w:hAnsi="Arial" w:cs="Arial"/>
          <w:sz w:val="24"/>
          <w:szCs w:val="24"/>
          <w:lang w:eastAsia="pt-BR"/>
        </w:rPr>
      </w:pPr>
      <w:r w:rsidRPr="00430377">
        <w:rPr>
          <w:rFonts w:ascii="Arial" w:eastAsia="Times New Roman" w:hAnsi="Arial" w:cs="Arial"/>
          <w:sz w:val="27"/>
          <w:szCs w:val="27"/>
          <w:lang w:eastAsia="pt-BR"/>
        </w:rPr>
        <w:t>Assevera, também, que a receita das mensalidades sindicais sustenta toda a atividade sindical, cujo valor é usado inclusive, para o pagamento dos empregados do sindicato, bem como para as despesas de custeio e atividade sindical.</w:t>
      </w:r>
    </w:p>
    <w:p w:rsidR="00430377" w:rsidRPr="00430377" w:rsidRDefault="00430377" w:rsidP="00430377">
      <w:pPr>
        <w:spacing w:before="100" w:beforeAutospacing="1" w:after="100" w:afterAutospacing="1" w:line="240" w:lineRule="auto"/>
        <w:jc w:val="both"/>
        <w:rPr>
          <w:rFonts w:ascii="Arial" w:eastAsia="Times New Roman" w:hAnsi="Arial" w:cs="Arial"/>
          <w:sz w:val="24"/>
          <w:szCs w:val="24"/>
          <w:lang w:eastAsia="pt-BR"/>
        </w:rPr>
      </w:pPr>
      <w:r w:rsidRPr="00430377">
        <w:rPr>
          <w:rFonts w:ascii="Arial" w:eastAsia="Times New Roman" w:hAnsi="Arial" w:cs="Arial"/>
          <w:sz w:val="27"/>
          <w:szCs w:val="27"/>
          <w:lang w:eastAsia="pt-BR"/>
        </w:rPr>
        <w:t xml:space="preserve">Por fim, requer a concessão de tutela provisória, inaudita altera parte, na forma do artigo 300 do Código de Processo Civil, a fim de suspender </w:t>
      </w:r>
      <w:r w:rsidRPr="00430377">
        <w:rPr>
          <w:rFonts w:ascii="Arial" w:eastAsia="Times New Roman" w:hAnsi="Arial" w:cs="Arial"/>
          <w:sz w:val="27"/>
          <w:szCs w:val="27"/>
          <w:lang w:eastAsia="pt-BR"/>
        </w:rPr>
        <w:lastRenderedPageBreak/>
        <w:t>os efeitos da Medida Provisória 873/2019, para determinar ao demandado que mantenha os descontos/consignações em folha das mensalidades/contribuições sindicais mensais solicitadas pelo autor, sem ônus para a entidade sindical e sem qualquer outra exigência.</w:t>
      </w:r>
    </w:p>
    <w:p w:rsidR="00430377" w:rsidRPr="00430377" w:rsidRDefault="00430377" w:rsidP="00430377">
      <w:pPr>
        <w:spacing w:before="100" w:beforeAutospacing="1" w:after="100" w:afterAutospacing="1" w:line="240" w:lineRule="auto"/>
        <w:jc w:val="both"/>
        <w:rPr>
          <w:rFonts w:ascii="Arial" w:eastAsia="Times New Roman" w:hAnsi="Arial" w:cs="Arial"/>
          <w:sz w:val="24"/>
          <w:szCs w:val="24"/>
          <w:lang w:eastAsia="pt-BR"/>
        </w:rPr>
      </w:pPr>
      <w:r w:rsidRPr="00430377">
        <w:rPr>
          <w:rFonts w:ascii="Arial" w:eastAsia="Times New Roman" w:hAnsi="Arial" w:cs="Arial"/>
          <w:sz w:val="27"/>
          <w:szCs w:val="27"/>
          <w:lang w:eastAsia="pt-BR"/>
        </w:rPr>
        <w:t>É o breve relato.</w:t>
      </w:r>
    </w:p>
    <w:p w:rsidR="00430377" w:rsidRPr="00430377" w:rsidRDefault="00430377" w:rsidP="00430377">
      <w:pPr>
        <w:spacing w:before="100" w:beforeAutospacing="1" w:after="100" w:afterAutospacing="1" w:line="240" w:lineRule="auto"/>
        <w:jc w:val="both"/>
        <w:rPr>
          <w:rFonts w:ascii="Arial" w:eastAsia="Times New Roman" w:hAnsi="Arial" w:cs="Arial"/>
          <w:sz w:val="24"/>
          <w:szCs w:val="24"/>
          <w:lang w:eastAsia="pt-BR"/>
        </w:rPr>
      </w:pPr>
      <w:r w:rsidRPr="00430377">
        <w:rPr>
          <w:rFonts w:ascii="Arial" w:eastAsia="Times New Roman" w:hAnsi="Arial" w:cs="Arial"/>
          <w:sz w:val="27"/>
          <w:szCs w:val="27"/>
          <w:lang w:eastAsia="pt-BR"/>
        </w:rPr>
        <w:t> </w:t>
      </w:r>
    </w:p>
    <w:p w:rsidR="00430377" w:rsidRPr="00430377" w:rsidRDefault="00430377" w:rsidP="00430377">
      <w:pPr>
        <w:spacing w:before="100" w:beforeAutospacing="1" w:after="100" w:afterAutospacing="1" w:line="240" w:lineRule="auto"/>
        <w:jc w:val="both"/>
        <w:rPr>
          <w:rFonts w:ascii="Arial" w:eastAsia="Times New Roman" w:hAnsi="Arial" w:cs="Arial"/>
          <w:sz w:val="24"/>
          <w:szCs w:val="24"/>
          <w:lang w:eastAsia="pt-BR"/>
        </w:rPr>
      </w:pPr>
      <w:r w:rsidRPr="00430377">
        <w:rPr>
          <w:rFonts w:ascii="Arial" w:eastAsia="Times New Roman" w:hAnsi="Arial" w:cs="Arial"/>
          <w:sz w:val="27"/>
          <w:szCs w:val="27"/>
          <w:lang w:eastAsia="pt-BR"/>
        </w:rPr>
        <w:t>DECIDO.</w:t>
      </w:r>
    </w:p>
    <w:p w:rsidR="00430377" w:rsidRPr="00430377" w:rsidRDefault="00430377" w:rsidP="00430377">
      <w:pPr>
        <w:spacing w:before="100" w:beforeAutospacing="1" w:after="100" w:afterAutospacing="1" w:line="240" w:lineRule="auto"/>
        <w:jc w:val="both"/>
        <w:rPr>
          <w:rFonts w:ascii="Arial" w:eastAsia="Times New Roman" w:hAnsi="Arial" w:cs="Arial"/>
          <w:sz w:val="24"/>
          <w:szCs w:val="24"/>
          <w:lang w:eastAsia="pt-BR"/>
        </w:rPr>
      </w:pPr>
      <w:r w:rsidRPr="00430377">
        <w:rPr>
          <w:rFonts w:ascii="Arial" w:eastAsia="Times New Roman" w:hAnsi="Arial" w:cs="Arial"/>
          <w:b/>
          <w:bCs/>
          <w:sz w:val="27"/>
          <w:szCs w:val="27"/>
          <w:lang w:eastAsia="pt-BR"/>
        </w:rPr>
        <w:t xml:space="preserve">- </w:t>
      </w:r>
      <w:r w:rsidRPr="00430377">
        <w:rPr>
          <w:rFonts w:ascii="Arial" w:eastAsia="Times New Roman" w:hAnsi="Arial" w:cs="Arial"/>
          <w:b/>
          <w:bCs/>
          <w:sz w:val="27"/>
          <w:szCs w:val="27"/>
          <w:u w:val="single"/>
          <w:lang w:eastAsia="pt-BR"/>
        </w:rPr>
        <w:t>Fundamentação</w:t>
      </w:r>
      <w:r w:rsidRPr="00430377">
        <w:rPr>
          <w:rFonts w:ascii="Arial" w:eastAsia="Times New Roman" w:hAnsi="Arial" w:cs="Arial"/>
          <w:b/>
          <w:bCs/>
          <w:sz w:val="27"/>
          <w:szCs w:val="27"/>
          <w:lang w:eastAsia="pt-BR"/>
        </w:rPr>
        <w:t>:</w:t>
      </w:r>
    </w:p>
    <w:p w:rsidR="00430377" w:rsidRPr="00430377" w:rsidRDefault="00430377" w:rsidP="00430377">
      <w:pPr>
        <w:spacing w:before="100" w:beforeAutospacing="1" w:after="100" w:afterAutospacing="1" w:line="240" w:lineRule="auto"/>
        <w:jc w:val="both"/>
        <w:rPr>
          <w:rFonts w:ascii="Arial" w:eastAsia="Times New Roman" w:hAnsi="Arial" w:cs="Arial"/>
          <w:sz w:val="24"/>
          <w:szCs w:val="24"/>
          <w:lang w:eastAsia="pt-BR"/>
        </w:rPr>
      </w:pPr>
      <w:r w:rsidRPr="00430377">
        <w:rPr>
          <w:rFonts w:ascii="Arial" w:eastAsia="Times New Roman" w:hAnsi="Arial" w:cs="Arial"/>
          <w:sz w:val="27"/>
          <w:szCs w:val="27"/>
          <w:lang w:eastAsia="pt-BR"/>
        </w:rPr>
        <w:t xml:space="preserve">O direito invocado pelo Autor exige, para o deferimento da medida, a presença dos requisitos da </w:t>
      </w:r>
      <w:r w:rsidRPr="00430377">
        <w:rPr>
          <w:rFonts w:ascii="Arial" w:eastAsia="Times New Roman" w:hAnsi="Arial" w:cs="Arial"/>
          <w:sz w:val="27"/>
          <w:szCs w:val="27"/>
          <w:u w:val="single"/>
          <w:lang w:eastAsia="pt-BR"/>
        </w:rPr>
        <w:t>probabilidade do direito</w:t>
      </w:r>
      <w:r w:rsidRPr="00430377">
        <w:rPr>
          <w:rFonts w:ascii="Arial" w:eastAsia="Times New Roman" w:hAnsi="Arial" w:cs="Arial"/>
          <w:sz w:val="27"/>
          <w:szCs w:val="27"/>
          <w:lang w:eastAsia="pt-BR"/>
        </w:rPr>
        <w:t xml:space="preserve"> e o </w:t>
      </w:r>
      <w:r w:rsidRPr="00430377">
        <w:rPr>
          <w:rFonts w:ascii="Arial" w:eastAsia="Times New Roman" w:hAnsi="Arial" w:cs="Arial"/>
          <w:sz w:val="27"/>
          <w:szCs w:val="27"/>
          <w:u w:val="single"/>
          <w:lang w:eastAsia="pt-BR"/>
        </w:rPr>
        <w:t>perigo de dano ou risco ao resultado útil do processo</w:t>
      </w:r>
      <w:r w:rsidRPr="00430377">
        <w:rPr>
          <w:rFonts w:ascii="Arial" w:eastAsia="Times New Roman" w:hAnsi="Arial" w:cs="Arial"/>
          <w:sz w:val="27"/>
          <w:szCs w:val="27"/>
          <w:lang w:eastAsia="pt-BR"/>
        </w:rPr>
        <w:t>, previstos no art. 300 da Lei instrumental comum.</w:t>
      </w:r>
    </w:p>
    <w:p w:rsidR="00430377" w:rsidRPr="00430377" w:rsidRDefault="00430377" w:rsidP="00430377">
      <w:pPr>
        <w:spacing w:before="100" w:beforeAutospacing="1" w:after="100" w:afterAutospacing="1" w:line="240" w:lineRule="auto"/>
        <w:jc w:val="both"/>
        <w:rPr>
          <w:rFonts w:ascii="Arial" w:eastAsia="Times New Roman" w:hAnsi="Arial" w:cs="Arial"/>
          <w:sz w:val="24"/>
          <w:szCs w:val="24"/>
          <w:lang w:eastAsia="pt-BR"/>
        </w:rPr>
      </w:pPr>
      <w:r w:rsidRPr="00430377">
        <w:rPr>
          <w:rFonts w:ascii="Arial" w:eastAsia="Times New Roman" w:hAnsi="Arial" w:cs="Arial"/>
          <w:sz w:val="27"/>
          <w:szCs w:val="27"/>
          <w:lang w:eastAsia="pt-BR"/>
        </w:rPr>
        <w:t>Analisando os argumentos aduzidos pelo sindicato, verifico que restam preenchidos os requisitos para o deferimento da liminar, quais sejam a fumaça do bom direito, face a inconstitucionalidade manifesta da MP 873/2019, e o perigo na demora, vez que, uma vez suspensa a cobrança das contribuições assistenciais, mediante desconto em folha de pagamento e sendo inviável a cobrança mediante boleto bancário, restará inviabilizada a atividade assistência do requerido à categoria que representa, situação essa que pode causar danos das mais variadas naturezas para os trabalhadores.</w:t>
      </w:r>
    </w:p>
    <w:p w:rsidR="00430377" w:rsidRPr="00430377" w:rsidRDefault="00430377" w:rsidP="00430377">
      <w:pPr>
        <w:spacing w:before="100" w:beforeAutospacing="1" w:after="100" w:afterAutospacing="1" w:line="240" w:lineRule="auto"/>
        <w:jc w:val="both"/>
        <w:rPr>
          <w:rFonts w:ascii="Arial" w:eastAsia="Times New Roman" w:hAnsi="Arial" w:cs="Arial"/>
          <w:sz w:val="24"/>
          <w:szCs w:val="24"/>
          <w:lang w:eastAsia="pt-BR"/>
        </w:rPr>
      </w:pPr>
      <w:r w:rsidRPr="00430377">
        <w:rPr>
          <w:rFonts w:ascii="Arial" w:eastAsia="Times New Roman" w:hAnsi="Arial" w:cs="Arial"/>
          <w:sz w:val="27"/>
          <w:szCs w:val="27"/>
          <w:lang w:eastAsia="pt-BR"/>
        </w:rPr>
        <w:t xml:space="preserve">Especificamente no que concerne à </w:t>
      </w:r>
      <w:r w:rsidRPr="00430377">
        <w:rPr>
          <w:rFonts w:ascii="Arial" w:eastAsia="Times New Roman" w:hAnsi="Arial" w:cs="Arial"/>
          <w:sz w:val="27"/>
          <w:szCs w:val="27"/>
          <w:u w:val="single"/>
          <w:lang w:eastAsia="pt-BR"/>
        </w:rPr>
        <w:t>probabilidade do direito</w:t>
      </w:r>
      <w:r w:rsidRPr="00430377">
        <w:rPr>
          <w:rFonts w:ascii="Arial" w:eastAsia="Times New Roman" w:hAnsi="Arial" w:cs="Arial"/>
          <w:sz w:val="27"/>
          <w:szCs w:val="27"/>
          <w:lang w:eastAsia="pt-BR"/>
        </w:rPr>
        <w:t>, essa se reflete, na espécie, pelo conjunto de princípios e normas legais que protegem os direitos trabalhistas, especialmente em seu viés coletivo, inclusive de índole constitucional (art. 1º, III e IV, art. 6º, art. 7º, XXVI, art. 8º, III e IV todos da CF).</w:t>
      </w:r>
    </w:p>
    <w:p w:rsidR="00430377" w:rsidRPr="00430377" w:rsidRDefault="00430377" w:rsidP="00430377">
      <w:pPr>
        <w:spacing w:before="100" w:beforeAutospacing="1" w:after="100" w:afterAutospacing="1" w:line="240" w:lineRule="auto"/>
        <w:jc w:val="both"/>
        <w:rPr>
          <w:rFonts w:ascii="Arial" w:eastAsia="Times New Roman" w:hAnsi="Arial" w:cs="Arial"/>
          <w:sz w:val="24"/>
          <w:szCs w:val="24"/>
          <w:lang w:eastAsia="pt-BR"/>
        </w:rPr>
      </w:pPr>
      <w:r w:rsidRPr="00430377">
        <w:rPr>
          <w:rFonts w:ascii="Arial" w:eastAsia="Times New Roman" w:hAnsi="Arial" w:cs="Arial"/>
          <w:sz w:val="27"/>
          <w:szCs w:val="27"/>
          <w:lang w:eastAsia="pt-BR"/>
        </w:rPr>
        <w:t>É bem verdade que Lei nº 13.467/2017 retira a compulsoriedade da contribuição, e que tal disposição teve a sua constitucionalidade reconhecida pelo Supremo Tribunal Federal (STF). Contudo, percebe-se que o texto da MP 873/2019 vai além do decidido pela Corte Suprema, violando manifestamente o texto constitucional.</w:t>
      </w:r>
    </w:p>
    <w:p w:rsidR="00430377" w:rsidRPr="00430377" w:rsidRDefault="00430377" w:rsidP="00430377">
      <w:pPr>
        <w:spacing w:before="100" w:beforeAutospacing="1" w:after="100" w:afterAutospacing="1" w:line="240" w:lineRule="auto"/>
        <w:jc w:val="both"/>
        <w:rPr>
          <w:rFonts w:ascii="Arial" w:eastAsia="Times New Roman" w:hAnsi="Arial" w:cs="Arial"/>
          <w:sz w:val="24"/>
          <w:szCs w:val="24"/>
          <w:lang w:eastAsia="pt-BR"/>
        </w:rPr>
      </w:pPr>
      <w:r w:rsidRPr="00430377">
        <w:rPr>
          <w:rFonts w:ascii="Arial" w:eastAsia="Times New Roman" w:hAnsi="Arial" w:cs="Arial"/>
          <w:sz w:val="27"/>
          <w:szCs w:val="27"/>
          <w:lang w:eastAsia="pt-BR"/>
        </w:rPr>
        <w:t>O art. 8º da CF/88 ao dispor sobre associação sindical estabelece, no inciso IV, que a assembleia geral fixará a contribuição que, em se tratando de categoria profissional, será descontada em folha, para custeio do sistema confederativo da representação sindical respectiva, independentemente da contribuição prevista em lei.</w:t>
      </w:r>
    </w:p>
    <w:p w:rsidR="00430377" w:rsidRPr="00430377" w:rsidRDefault="00430377" w:rsidP="00430377">
      <w:pPr>
        <w:spacing w:before="100" w:beforeAutospacing="1" w:after="100" w:afterAutospacing="1" w:line="240" w:lineRule="auto"/>
        <w:jc w:val="both"/>
        <w:rPr>
          <w:rFonts w:ascii="Arial" w:eastAsia="Times New Roman" w:hAnsi="Arial" w:cs="Arial"/>
          <w:sz w:val="24"/>
          <w:szCs w:val="24"/>
          <w:lang w:eastAsia="pt-BR"/>
        </w:rPr>
      </w:pPr>
      <w:r w:rsidRPr="00430377">
        <w:rPr>
          <w:rFonts w:ascii="Arial" w:eastAsia="Times New Roman" w:hAnsi="Arial" w:cs="Arial"/>
          <w:sz w:val="27"/>
          <w:szCs w:val="27"/>
          <w:lang w:eastAsia="pt-BR"/>
        </w:rPr>
        <w:lastRenderedPageBreak/>
        <w:t>Nesse contexto, observa-se que há previsão expressa no texto constitucional quanto à possibilidade de desconto em folha da contribuição sindical fixada pela categoria. O fato de a reforma trabalhista ter atribuído facultatividade a essa espécie de contribuição, não altera a forma do seu recolhimento quando preenchidos os requisitos estabelecidos pela legislação disciplinadora.</w:t>
      </w:r>
    </w:p>
    <w:p w:rsidR="00430377" w:rsidRPr="00430377" w:rsidRDefault="00430377" w:rsidP="00430377">
      <w:pPr>
        <w:spacing w:before="100" w:beforeAutospacing="1" w:after="100" w:afterAutospacing="1" w:line="240" w:lineRule="auto"/>
        <w:jc w:val="both"/>
        <w:rPr>
          <w:rFonts w:ascii="Arial" w:eastAsia="Times New Roman" w:hAnsi="Arial" w:cs="Arial"/>
          <w:sz w:val="24"/>
          <w:szCs w:val="24"/>
          <w:lang w:eastAsia="pt-BR"/>
        </w:rPr>
      </w:pPr>
      <w:r w:rsidRPr="00430377">
        <w:rPr>
          <w:rFonts w:ascii="Arial" w:eastAsia="Times New Roman" w:hAnsi="Arial" w:cs="Arial"/>
          <w:sz w:val="27"/>
          <w:szCs w:val="27"/>
          <w:lang w:eastAsia="pt-BR"/>
        </w:rPr>
        <w:t>É de se ressaltar ainda a ausência de razoabilidade em se alterar a sistemática de recolhimento em que fosse concedido tempo hábil para que as entidades sindicais se adequassem à mudança, caracterizando, desse modo, manifesta inconstitucionalidade material, por ofender a representatividade do ente coletivo prevista no art. 8º da Constituição Federal.</w:t>
      </w:r>
    </w:p>
    <w:p w:rsidR="00430377" w:rsidRPr="00430377" w:rsidRDefault="00430377" w:rsidP="00430377">
      <w:pPr>
        <w:spacing w:before="100" w:beforeAutospacing="1" w:after="100" w:afterAutospacing="1" w:line="240" w:lineRule="auto"/>
        <w:jc w:val="both"/>
        <w:rPr>
          <w:rFonts w:ascii="Arial" w:eastAsia="Times New Roman" w:hAnsi="Arial" w:cs="Arial"/>
          <w:sz w:val="24"/>
          <w:szCs w:val="24"/>
          <w:lang w:eastAsia="pt-BR"/>
        </w:rPr>
      </w:pPr>
      <w:r w:rsidRPr="00430377">
        <w:rPr>
          <w:rFonts w:ascii="Arial" w:eastAsia="Times New Roman" w:hAnsi="Arial" w:cs="Arial"/>
          <w:sz w:val="27"/>
          <w:szCs w:val="27"/>
          <w:lang w:eastAsia="pt-BR"/>
        </w:rPr>
        <w:t>Destarte, os pressupostos jurídicos ora enfatizados configuram a presença da probabilidade do direito no caso em tela.</w:t>
      </w:r>
    </w:p>
    <w:p w:rsidR="00430377" w:rsidRPr="00430377" w:rsidRDefault="00430377" w:rsidP="00430377">
      <w:pPr>
        <w:spacing w:before="100" w:beforeAutospacing="1" w:after="100" w:afterAutospacing="1" w:line="240" w:lineRule="auto"/>
        <w:jc w:val="both"/>
        <w:rPr>
          <w:rFonts w:ascii="Arial" w:eastAsia="Times New Roman" w:hAnsi="Arial" w:cs="Arial"/>
          <w:sz w:val="24"/>
          <w:szCs w:val="24"/>
          <w:lang w:eastAsia="pt-BR"/>
        </w:rPr>
      </w:pPr>
      <w:r w:rsidRPr="00430377">
        <w:rPr>
          <w:rFonts w:ascii="Arial" w:eastAsia="Times New Roman" w:hAnsi="Arial" w:cs="Arial"/>
          <w:sz w:val="27"/>
          <w:szCs w:val="27"/>
          <w:lang w:eastAsia="pt-BR"/>
        </w:rPr>
        <w:t xml:space="preserve">Em relação ao </w:t>
      </w:r>
      <w:r w:rsidRPr="00430377">
        <w:rPr>
          <w:rFonts w:ascii="Arial" w:eastAsia="Times New Roman" w:hAnsi="Arial" w:cs="Arial"/>
          <w:sz w:val="27"/>
          <w:szCs w:val="27"/>
          <w:u w:val="single"/>
          <w:lang w:eastAsia="pt-BR"/>
        </w:rPr>
        <w:t>perigo de dano ou risco ao resultado útil do processo</w:t>
      </w:r>
      <w:r w:rsidRPr="00430377">
        <w:rPr>
          <w:rFonts w:ascii="Arial" w:eastAsia="Times New Roman" w:hAnsi="Arial" w:cs="Arial"/>
          <w:sz w:val="27"/>
          <w:szCs w:val="27"/>
          <w:lang w:eastAsia="pt-BR"/>
        </w:rPr>
        <w:t xml:space="preserve">, a documentação acostada aos autos revela a urgência da pretensão da tutela provisória autoral. Isso porque a espera da tramitação processual para que ocorra o deferimento da medida pode acarretar prejuízos irreparáveis ao exercício das funções institucionais da entidade autora. Com efeito, a contribuição sindical </w:t>
      </w:r>
      <w:proofErr w:type="gramStart"/>
      <w:r w:rsidRPr="00430377">
        <w:rPr>
          <w:rFonts w:ascii="Arial" w:eastAsia="Times New Roman" w:hAnsi="Arial" w:cs="Arial"/>
          <w:sz w:val="27"/>
          <w:szCs w:val="27"/>
          <w:lang w:eastAsia="pt-BR"/>
        </w:rPr>
        <w:t>consiste</w:t>
      </w:r>
      <w:proofErr w:type="gramEnd"/>
      <w:r w:rsidRPr="00430377">
        <w:rPr>
          <w:rFonts w:ascii="Arial" w:eastAsia="Times New Roman" w:hAnsi="Arial" w:cs="Arial"/>
          <w:sz w:val="27"/>
          <w:szCs w:val="27"/>
          <w:lang w:eastAsia="pt-BR"/>
        </w:rPr>
        <w:t xml:space="preserve"> fonte de custeio das entidades sindicais, de modo que a ausência de recursos para a sua manutenção acarretará o encerramento das suas atividades, bem como inúmeros prejuízos à representatividade e assistência dos trabalhadores da categoria.</w:t>
      </w:r>
    </w:p>
    <w:p w:rsidR="00430377" w:rsidRPr="00430377" w:rsidRDefault="00430377" w:rsidP="00430377">
      <w:pPr>
        <w:spacing w:before="100" w:beforeAutospacing="1" w:after="100" w:afterAutospacing="1" w:line="240" w:lineRule="auto"/>
        <w:jc w:val="both"/>
        <w:rPr>
          <w:rFonts w:ascii="Arial" w:eastAsia="Times New Roman" w:hAnsi="Arial" w:cs="Arial"/>
          <w:sz w:val="24"/>
          <w:szCs w:val="24"/>
          <w:lang w:eastAsia="pt-BR"/>
        </w:rPr>
      </w:pPr>
      <w:r w:rsidRPr="00430377">
        <w:rPr>
          <w:rFonts w:ascii="Arial" w:eastAsia="Times New Roman" w:hAnsi="Arial" w:cs="Arial"/>
          <w:sz w:val="27"/>
          <w:szCs w:val="27"/>
          <w:lang w:eastAsia="pt-BR"/>
        </w:rPr>
        <w:t xml:space="preserve">Com apoio nos argumentos em destaque, </w:t>
      </w:r>
      <w:r w:rsidRPr="00430377">
        <w:rPr>
          <w:rFonts w:ascii="Arial" w:eastAsia="Times New Roman" w:hAnsi="Arial" w:cs="Arial"/>
          <w:b/>
          <w:bCs/>
          <w:sz w:val="27"/>
          <w:szCs w:val="27"/>
          <w:u w:val="single"/>
          <w:lang w:eastAsia="pt-BR"/>
        </w:rPr>
        <w:t>DEFIRO</w:t>
      </w:r>
      <w:r w:rsidRPr="00430377">
        <w:rPr>
          <w:rFonts w:ascii="Arial" w:eastAsia="Times New Roman" w:hAnsi="Arial" w:cs="Arial"/>
          <w:b/>
          <w:bCs/>
          <w:sz w:val="27"/>
          <w:szCs w:val="27"/>
          <w:lang w:eastAsia="pt-BR"/>
        </w:rPr>
        <w:t xml:space="preserve"> </w:t>
      </w:r>
      <w:r w:rsidRPr="00430377">
        <w:rPr>
          <w:rFonts w:ascii="Arial" w:eastAsia="Times New Roman" w:hAnsi="Arial" w:cs="Arial"/>
          <w:sz w:val="27"/>
          <w:szCs w:val="27"/>
          <w:lang w:eastAsia="pt-BR"/>
        </w:rPr>
        <w:t>a tutela de urgência em análise, determinando que a parte Requerida mantenha os descontos/consignações em folha das mensalidades/contribuições sindicais solicitadas pelo sindicato autor, independentemente da necessidade de envio de boletos individuais aos trabalhadores ou de observância das regras estabelecidas pela MP 873/2019.</w:t>
      </w:r>
    </w:p>
    <w:p w:rsidR="00430377" w:rsidRPr="00430377" w:rsidRDefault="00430377" w:rsidP="00430377">
      <w:pPr>
        <w:spacing w:before="100" w:beforeAutospacing="1" w:after="100" w:afterAutospacing="1" w:line="240" w:lineRule="auto"/>
        <w:jc w:val="both"/>
        <w:rPr>
          <w:rFonts w:ascii="Arial" w:eastAsia="Times New Roman" w:hAnsi="Arial" w:cs="Arial"/>
          <w:sz w:val="24"/>
          <w:szCs w:val="24"/>
          <w:lang w:eastAsia="pt-BR"/>
        </w:rPr>
      </w:pPr>
      <w:r w:rsidRPr="00430377">
        <w:rPr>
          <w:rFonts w:ascii="Arial" w:eastAsia="Times New Roman" w:hAnsi="Arial" w:cs="Arial"/>
          <w:sz w:val="27"/>
          <w:szCs w:val="27"/>
          <w:lang w:eastAsia="pt-BR"/>
        </w:rPr>
        <w:t>Notifiquem-se as partes para ciência desta decisão.</w:t>
      </w:r>
    </w:p>
    <w:p w:rsidR="00430377" w:rsidRPr="00430377" w:rsidRDefault="00430377" w:rsidP="00430377">
      <w:pPr>
        <w:spacing w:before="100" w:beforeAutospacing="1" w:after="100" w:afterAutospacing="1" w:line="240" w:lineRule="auto"/>
        <w:jc w:val="both"/>
        <w:rPr>
          <w:rFonts w:ascii="Arial" w:eastAsia="Times New Roman" w:hAnsi="Arial" w:cs="Arial"/>
          <w:sz w:val="24"/>
          <w:szCs w:val="24"/>
          <w:lang w:eastAsia="pt-BR"/>
        </w:rPr>
      </w:pPr>
      <w:r w:rsidRPr="00430377">
        <w:rPr>
          <w:rFonts w:ascii="Arial" w:eastAsia="Times New Roman" w:hAnsi="Arial" w:cs="Arial"/>
          <w:sz w:val="27"/>
          <w:szCs w:val="27"/>
          <w:lang w:eastAsia="pt-BR"/>
        </w:rPr>
        <w:t>Inclua-se o feito em pauta, notificando-se os litigantes com a devida antecedência.</w:t>
      </w:r>
    </w:p>
    <w:p w:rsidR="00430377" w:rsidRPr="00430377" w:rsidRDefault="00430377" w:rsidP="00430377">
      <w:pPr>
        <w:spacing w:before="100" w:beforeAutospacing="1" w:after="100" w:afterAutospacing="1" w:line="240" w:lineRule="auto"/>
        <w:rPr>
          <w:rFonts w:ascii="Arial" w:eastAsia="Times New Roman" w:hAnsi="Arial" w:cs="Arial"/>
          <w:sz w:val="28"/>
          <w:szCs w:val="28"/>
          <w:lang w:eastAsia="pt-BR"/>
        </w:rPr>
      </w:pPr>
      <w:r w:rsidRPr="00430377">
        <w:rPr>
          <w:rFonts w:ascii="Arial" w:eastAsia="Times New Roman" w:hAnsi="Arial" w:cs="Arial"/>
          <w:sz w:val="28"/>
          <w:szCs w:val="28"/>
          <w:lang w:eastAsia="pt-BR"/>
        </w:rPr>
        <w:t xml:space="preserve">BARRA DO CORDA, 27 de </w:t>
      </w:r>
      <w:proofErr w:type="gramStart"/>
      <w:r w:rsidRPr="00430377">
        <w:rPr>
          <w:rFonts w:ascii="Arial" w:eastAsia="Times New Roman" w:hAnsi="Arial" w:cs="Arial"/>
          <w:sz w:val="28"/>
          <w:szCs w:val="28"/>
          <w:lang w:eastAsia="pt-BR"/>
        </w:rPr>
        <w:t>Março</w:t>
      </w:r>
      <w:proofErr w:type="gramEnd"/>
      <w:r w:rsidRPr="00430377">
        <w:rPr>
          <w:rFonts w:ascii="Arial" w:eastAsia="Times New Roman" w:hAnsi="Arial" w:cs="Arial"/>
          <w:sz w:val="28"/>
          <w:szCs w:val="28"/>
          <w:lang w:eastAsia="pt-BR"/>
        </w:rPr>
        <w:t xml:space="preserve"> de 2019</w:t>
      </w:r>
    </w:p>
    <w:p w:rsidR="00430377" w:rsidRPr="00430377" w:rsidRDefault="00430377" w:rsidP="00430377">
      <w:pPr>
        <w:spacing w:after="0" w:line="240" w:lineRule="auto"/>
        <w:jc w:val="center"/>
        <w:rPr>
          <w:rFonts w:ascii="Arial" w:eastAsia="Times New Roman" w:hAnsi="Arial" w:cs="Arial"/>
          <w:sz w:val="28"/>
          <w:szCs w:val="28"/>
          <w:lang w:eastAsia="pt-BR"/>
        </w:rPr>
      </w:pPr>
      <w:r w:rsidRPr="00430377">
        <w:rPr>
          <w:rFonts w:ascii="Arial" w:eastAsia="Times New Roman" w:hAnsi="Arial" w:cs="Arial"/>
          <w:sz w:val="28"/>
          <w:szCs w:val="28"/>
          <w:lang w:eastAsia="pt-BR"/>
        </w:rPr>
        <w:br/>
        <w:t>FRANCISCO JOSE CAMPELO GALVAO</w:t>
      </w:r>
      <w:r w:rsidRPr="00430377">
        <w:rPr>
          <w:rFonts w:ascii="Arial" w:eastAsia="Times New Roman" w:hAnsi="Arial" w:cs="Arial"/>
          <w:sz w:val="28"/>
          <w:szCs w:val="28"/>
          <w:lang w:eastAsia="pt-BR"/>
        </w:rPr>
        <w:br/>
        <w:t>Juiz do Trabalho Titular</w:t>
      </w:r>
    </w:p>
    <w:p w:rsidR="00A1059C" w:rsidRPr="00430377" w:rsidRDefault="00A1059C" w:rsidP="00430377">
      <w:bookmarkStart w:id="0" w:name="_GoBack"/>
      <w:bookmarkEnd w:id="0"/>
    </w:p>
    <w:sectPr w:rsidR="00A1059C" w:rsidRPr="004303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D72CE"/>
    <w:multiLevelType w:val="hybridMultilevel"/>
    <w:tmpl w:val="6B8A0052"/>
    <w:lvl w:ilvl="0" w:tplc="0416000F">
      <w:start w:val="1"/>
      <w:numFmt w:val="decimal"/>
      <w:lvlText w:val="%1."/>
      <w:lvlJc w:val="left"/>
      <w:pPr>
        <w:ind w:left="644"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D5"/>
    <w:rsid w:val="00430377"/>
    <w:rsid w:val="004771AE"/>
    <w:rsid w:val="005A3BE3"/>
    <w:rsid w:val="00777B01"/>
    <w:rsid w:val="0082772E"/>
    <w:rsid w:val="0084463B"/>
    <w:rsid w:val="00A1059C"/>
    <w:rsid w:val="00A604FA"/>
    <w:rsid w:val="00D90B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8A52"/>
  <w15:chartTrackingRefBased/>
  <w15:docId w15:val="{00267780-629E-4A7E-AEE8-F164C9C2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1059C"/>
    <w:pPr>
      <w:ind w:left="720"/>
      <w:contextualSpacing/>
    </w:pPr>
  </w:style>
  <w:style w:type="table" w:styleId="Tabelacomgrade">
    <w:name w:val="Table Grid"/>
    <w:basedOn w:val="Tabelanormal"/>
    <w:uiPriority w:val="39"/>
    <w:rsid w:val="00A10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755665">
      <w:bodyDiv w:val="1"/>
      <w:marLeft w:val="0"/>
      <w:marRight w:val="0"/>
      <w:marTop w:val="0"/>
      <w:marBottom w:val="0"/>
      <w:divBdr>
        <w:top w:val="none" w:sz="0" w:space="0" w:color="auto"/>
        <w:left w:val="none" w:sz="0" w:space="0" w:color="auto"/>
        <w:bottom w:val="none" w:sz="0" w:space="0" w:color="auto"/>
        <w:right w:val="none" w:sz="0" w:space="0" w:color="auto"/>
      </w:divBdr>
      <w:divsChild>
        <w:div w:id="2045908528">
          <w:marLeft w:val="0"/>
          <w:marRight w:val="0"/>
          <w:marTop w:val="0"/>
          <w:marBottom w:val="0"/>
          <w:divBdr>
            <w:top w:val="none" w:sz="0" w:space="0" w:color="auto"/>
            <w:left w:val="none" w:sz="0" w:space="0" w:color="auto"/>
            <w:bottom w:val="none" w:sz="0" w:space="0" w:color="auto"/>
            <w:right w:val="none" w:sz="0" w:space="0" w:color="auto"/>
          </w:divBdr>
          <w:divsChild>
            <w:div w:id="794444100">
              <w:marLeft w:val="0"/>
              <w:marRight w:val="0"/>
              <w:marTop w:val="0"/>
              <w:marBottom w:val="0"/>
              <w:divBdr>
                <w:top w:val="none" w:sz="0" w:space="0" w:color="auto"/>
                <w:left w:val="none" w:sz="0" w:space="0" w:color="auto"/>
                <w:bottom w:val="none" w:sz="0" w:space="0" w:color="auto"/>
                <w:right w:val="none" w:sz="0" w:space="0" w:color="auto"/>
              </w:divBdr>
            </w:div>
          </w:divsChild>
        </w:div>
        <w:div w:id="2040205634">
          <w:marLeft w:val="0"/>
          <w:marRight w:val="0"/>
          <w:marTop w:val="0"/>
          <w:marBottom w:val="0"/>
          <w:divBdr>
            <w:top w:val="none" w:sz="0" w:space="0" w:color="auto"/>
            <w:left w:val="none" w:sz="0" w:space="0" w:color="auto"/>
            <w:bottom w:val="none" w:sz="0" w:space="0" w:color="auto"/>
            <w:right w:val="none" w:sz="0" w:space="0" w:color="auto"/>
          </w:divBdr>
          <w:divsChild>
            <w:div w:id="8655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986</Words>
  <Characters>5327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Clauderlis CARNEIRO</dc:creator>
  <cp:keywords/>
  <dc:description/>
  <cp:lastModifiedBy>Clauderlis CARNEIRO</cp:lastModifiedBy>
  <cp:revision>1</cp:revision>
  <dcterms:created xsi:type="dcterms:W3CDTF">2019-03-27T12:57:00Z</dcterms:created>
  <dcterms:modified xsi:type="dcterms:W3CDTF">2019-03-28T12:56:00Z</dcterms:modified>
</cp:coreProperties>
</file>