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120" w:before="0"/>
      </w:pPr>
      <w:r>
        <w:rPr>
          <w:rFonts w:ascii="Public Sans" w:cs="Public Sans" w:eastAsia="Public Sans" w:hAnsi="Public Sans"/>
          <w:b/>
          <w:bCs/>
          <w:color w:val="203229"/>
          <w:sz w:val="52"/>
          <w:szCs w:val="52"/>
        </w:rPr>
        <w:t xml:space="preserve">EQUALPOINT + SODA</w:t>
      </w:r>
    </w:p>
    <w:p>
      <w:pPr>
        <w:spacing w:after="120" w:before="0"/>
      </w:pPr>
      <w:r>
        <w:rPr>
          <w:rFonts w:ascii="Public Sans" w:cs="Public Sans" w:eastAsia="Public Sans" w:hAnsi="Public Sans"/>
          <w:b/>
          <w:bCs/>
          <w:color w:val="212121"/>
          <w:sz w:val="40"/>
          <w:szCs w:val="40"/>
        </w:rPr>
        <w:t xml:space="preserve">Entity Standardization</w:t>
      </w:r>
    </w:p>
    <w:p>
      <w:pPr>
        <w:spacing w:after="80" w:before="0"/>
      </w:pPr>
      <w:r>
        <w:rPr>
          <w:rFonts w:ascii="Public Sans" w:cs="Public Sans" w:eastAsia="Public Sans" w:hAnsi="Public Sans"/>
          <w:color w:val="6B7280"/>
          <w:sz w:val="26"/>
          <w:szCs w:val="26"/>
        </w:rPr>
        <w:t xml:space="preserve">Source, Architecture, and Implementation Guide</w:t>
      </w:r>
    </w:p>
    <w:p>
      <w:pPr>
        <w:pBdr>
          <w:bottom w:val="single" w:color="B1FA63" w:sz="8" w:space="4"/>
        </w:pBdr>
        <w:spacing w:after="480" w:before="0"/>
      </w:pPr>
      <w:r>
        <w:rPr>
          <w:rFonts w:ascii="Public Sans" w:cs="Public Sans" w:eastAsia="Public Sans" w:hAnsi="Public Sans"/>
          <w:i/>
          <w:iCs/>
          <w:color w:val="6B7280"/>
          <w:sz w:val="20"/>
          <w:szCs w:val="20"/>
        </w:rPr>
        <w:t xml:space="preserve">June 2026  |  Internal Technical Reference</w:t>
      </w:r>
    </w:p>
    <w:p>
      <w:pPr>
        <w:spacing w:after="400" w:before="0"/>
      </w:pPr>
      <w:r>
        <w:t xml:space="preserve"/>
      </w:r>
    </w:p>
    <w:p>
      <w:pPr>
        <w:spacing w:after="200" w:before="0"/>
        <w:jc w:val="left"/>
      </w:pPr>
      <w:r>
        <w:rPr>
          <w:rFonts w:ascii="Public Sans" w:cs="Public Sans" w:eastAsia="Public Sans" w:hAnsi="Public Sans"/>
          <w:b w:val="false"/>
          <w:bCs w:val="false"/>
          <w:i w:val="false"/>
          <w:iCs w:val="false"/>
          <w:color w:val="212121"/>
          <w:sz w:val="22"/>
          <w:szCs w:val="22"/>
        </w:rPr>
        <w:t xml:space="preserve">This document describes the entity standardization system built for Equalpoint and SODA. It covers the source that inspired the design, the three-layer architecture, all implementation files, and the deployment sequence required before Black Tech Week Cincinnati (Pilot 3, July 14-16, 2026).</w:t>
      </w:r>
    </w:p>
    <w:p>
      <w:pPr>
        <w:pBdr>
          <w:bottom w:val="single" w:color="E2E8E4" w:sz="2" w:space="1"/>
        </w:pBdr>
        <w:spacing w:after="240" w:before="120"/>
      </w:pPr>
      <w:r>
        <w:t xml:space="preserve"/>
      </w:r>
    </w:p>
    <w:p>
      <w:pPr>
        <w:pStyle w:val="Heading1"/>
        <w:pBdr>
          <w:bottom w:val="single" w:color="B1FA63" w:sz="6" w:space="4"/>
        </w:pBdr>
        <w:spacing w:after="200" w:before="480"/>
      </w:pPr>
      <w:r>
        <w:rPr>
          <w:rFonts w:ascii="Public Sans" w:cs="Public Sans" w:eastAsia="Public Sans" w:hAnsi="Public Sans"/>
          <w:b/>
          <w:bCs/>
          <w:color w:val="203229"/>
          <w:sz w:val="36"/>
          <w:szCs w:val="36"/>
        </w:rPr>
        <w:t xml:space="preserve">1. Source: AI-Powered Knowledge Graph Generator</w:t>
      </w:r>
    </w:p>
    <w:p>
      <w:pPr>
        <w:spacing w:after="160" w:before="0"/>
        <w:jc w:val="left"/>
      </w:pPr>
      <w:r>
        <w:rPr>
          <w:rFonts w:ascii="Public Sans" w:cs="Public Sans" w:eastAsia="Public Sans" w:hAnsi="Public Sans"/>
          <w:b w:val="false"/>
          <w:bCs w:val="false"/>
          <w:i w:val="false"/>
          <w:iCs w:val="false"/>
          <w:color w:val="212121"/>
          <w:sz w:val="22"/>
          <w:szCs w:val="22"/>
        </w:rPr>
        <w:t xml:space="preserve">The entity standardization system draws its core design from the open-source project </w:t>
      </w:r>
      <w:r>
        <w:rPr>
          <w:rFonts w:ascii="Public Sans" w:cs="Public Sans" w:eastAsia="Public Sans" w:hAnsi="Public Sans"/>
          <w:b/>
          <w:bCs/>
          <w:i w:val="false"/>
          <w:iCs w:val="false"/>
          <w:color w:val="212121"/>
          <w:sz w:val="22"/>
          <w:szCs w:val="22"/>
        </w:rPr>
        <w:t xml:space="preserve">ai-knowledge-graph</w:t>
      </w:r>
      <w:r>
        <w:rPr>
          <w:rFonts w:ascii="Public Sans" w:cs="Public Sans" w:eastAsia="Public Sans" w:hAnsi="Public Sans"/>
          <w:b w:val="false"/>
          <w:bCs w:val="false"/>
          <w:i w:val="false"/>
          <w:iCs w:val="false"/>
          <w:color w:val="212121"/>
          <w:sz w:val="22"/>
          <w:szCs w:val="22"/>
        </w:rPr>
        <w:t xml:space="preserve"> by Robert McDermott (</w:t>
      </w:r>
      <w:r>
        <w:rPr>
          <w:rFonts w:ascii="Public Sans" w:cs="Public Sans" w:eastAsia="Public Sans" w:hAnsi="Public Sans"/>
          <w:b w:val="false"/>
          <w:bCs w:val="false"/>
          <w:i/>
          <w:iCs/>
          <w:color w:val="212121"/>
          <w:sz w:val="22"/>
          <w:szCs w:val="22"/>
        </w:rPr>
        <w:t xml:space="preserve">github.com/robert-mcdermott/ai-knowledge-graph</w:t>
      </w:r>
      <w:r>
        <w:rPr>
          <w:rFonts w:ascii="Public Sans" w:cs="Public Sans" w:eastAsia="Public Sans" w:hAnsi="Public Sans"/>
          <w:b w:val="false"/>
          <w:bCs w:val="false"/>
          <w:i w:val="false"/>
          <w:iCs w:val="false"/>
          <w:color w:val="212121"/>
          <w:sz w:val="22"/>
          <w:szCs w:val="22"/>
        </w:rPr>
        <w:t xml:space="preserve">). The project takes unstructured text documents and uses an LLM to extract Subject-Predicate-Object (SPO) triplets, then visualizes the relationships as an interactive knowledge graph.</w:t>
      </w:r>
    </w:p>
    <w:p>
      <w:pPr>
        <w:pStyle w:val="Heading2"/>
        <w:spacing w:after="160" w:before="360"/>
      </w:pPr>
      <w:r>
        <w:rPr>
          <w:rFonts w:ascii="Public Sans" w:cs="Public Sans" w:eastAsia="Public Sans" w:hAnsi="Public Sans"/>
          <w:b/>
          <w:bCs/>
          <w:color w:val="203229"/>
          <w:sz w:val="28"/>
          <w:szCs w:val="28"/>
        </w:rPr>
        <w:t xml:space="preserve">1.1 What the Source Project Does</w:t>
      </w:r>
    </w:p>
    <w:p>
      <w:pPr>
        <w:spacing w:after="80" w:before="0"/>
        <w:jc w:val="left"/>
      </w:pPr>
      <w:r>
        <w:rPr>
          <w:rFonts w:ascii="Public Sans" w:cs="Public Sans" w:eastAsia="Public Sans" w:hAnsi="Public Sans"/>
          <w:b w:val="false"/>
          <w:bCs w:val="false"/>
          <w:i w:val="false"/>
          <w:iCs w:val="false"/>
          <w:color w:val="212121"/>
          <w:sz w:val="22"/>
          <w:szCs w:val="22"/>
        </w:rPr>
        <w:t xml:space="preserve">The source project runs a four-phase pipeline:</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Phase 1 </w:t>
      </w:r>
      <w:r>
        <w:rPr>
          <w:rFonts w:ascii="Public Sans" w:cs="Public Sans" w:eastAsia="Public Sans" w:hAnsi="Public Sans"/>
          <w:b w:val="false"/>
          <w:bCs w:val="false"/>
          <w:i w:val="false"/>
          <w:iCs w:val="false"/>
          <w:color w:val="212121"/>
          <w:sz w:val="22"/>
          <w:szCs w:val="22"/>
        </w:rPr>
        <w:t xml:space="preserve">chunks input text and extracts SPO triplets per chunk via LLM</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Phase 2 </w:t>
      </w:r>
      <w:r>
        <w:rPr>
          <w:rFonts w:ascii="Public Sans" w:cs="Public Sans" w:eastAsia="Public Sans" w:hAnsi="Public Sans"/>
          <w:b w:val="false"/>
          <w:bCs w:val="false"/>
          <w:i w:val="false"/>
          <w:iCs w:val="false"/>
          <w:color w:val="212121"/>
          <w:sz w:val="22"/>
          <w:szCs w:val="22"/>
        </w:rPr>
        <w:t xml:space="preserve">standardizes entity names across all chunks, resolving "AI", "artificial intelligence", and "AI system" into one canonical node</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Phase 3 </w:t>
      </w:r>
      <w:r>
        <w:rPr>
          <w:rFonts w:ascii="Public Sans" w:cs="Public Sans" w:eastAsia="Public Sans" w:hAnsi="Public Sans"/>
          <w:b w:val="false"/>
          <w:bCs w:val="false"/>
          <w:i w:val="false"/>
          <w:iCs w:val="false"/>
          <w:color w:val="212121"/>
          <w:sz w:val="22"/>
          <w:szCs w:val="22"/>
        </w:rPr>
        <w:t xml:space="preserve">infers relationships between disconnected graph communities that were not explicitly stated in the text</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Phase 4 </w:t>
      </w:r>
      <w:r>
        <w:rPr>
          <w:rFonts w:ascii="Public Sans" w:cs="Public Sans" w:eastAsia="Public Sans" w:hAnsi="Public Sans"/>
          <w:b w:val="false"/>
          <w:bCs w:val="false"/>
          <w:i w:val="false"/>
          <w:iCs w:val="false"/>
          <w:color w:val="212121"/>
          <w:sz w:val="22"/>
          <w:szCs w:val="22"/>
        </w:rPr>
        <w:t xml:space="preserve">generates an interactive HTML visualization using PyVis with Louvain community detection</w:t>
      </w:r>
    </w:p>
    <w:p>
      <w:pPr>
        <w:spacing w:after="160" w:before="0"/>
      </w:pPr>
      <w:r>
        <w:t xml:space="preserve"/>
      </w:r>
    </w:p>
    <w:p>
      <w:pPr>
        <w:pStyle w:val="Heading2"/>
        <w:spacing w:after="160" w:before="360"/>
      </w:pPr>
      <w:r>
        <w:rPr>
          <w:rFonts w:ascii="Public Sans" w:cs="Public Sans" w:eastAsia="Public Sans" w:hAnsi="Public Sans"/>
          <w:b/>
          <w:bCs/>
          <w:color w:val="203229"/>
          <w:sz w:val="28"/>
          <w:szCs w:val="28"/>
        </w:rPr>
        <w:t xml:space="preserve">1.2 What Equalpoint Borrows</w:t>
      </w:r>
    </w:p>
    <w:p>
      <w:pPr>
        <w:spacing w:after="80" w:before="0"/>
        <w:jc w:val="left"/>
      </w:pPr>
      <w:r>
        <w:rPr>
          <w:rFonts w:ascii="Public Sans" w:cs="Public Sans" w:eastAsia="Public Sans" w:hAnsi="Public Sans"/>
          <w:b w:val="false"/>
          <w:bCs w:val="false"/>
          <w:i w:val="false"/>
          <w:iCs w:val="false"/>
          <w:color w:val="212121"/>
          <w:sz w:val="22"/>
          <w:szCs w:val="22"/>
        </w:rPr>
        <w:t xml:space="preserve">Equalpoint does not use the source project directly. It adapts the entity standardization logic from Phase 2 into a TypeScript system suited to a real-time web application. Three specific ideas carry over:</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The three-pass funnel </w:t>
      </w:r>
      <w:r>
        <w:rPr>
          <w:rFonts w:ascii="Public Sans" w:cs="Public Sans" w:eastAsia="Public Sans" w:hAnsi="Public Sans"/>
          <w:b w:val="false"/>
          <w:bCs w:val="false"/>
          <w:i w:val="false"/>
          <w:iCs w:val="false"/>
          <w:color w:val="212121"/>
          <w:sz w:val="22"/>
          <w:szCs w:val="22"/>
        </w:rPr>
        <w:t xml:space="preserve">(text normalization, fuzzy matching, LLM resolution) as a layered, progressively intelligent approach</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The LLM-assisted entity grouping prompt pattern </w:t>
      </w:r>
      <w:r>
        <w:rPr>
          <w:rFonts w:ascii="Public Sans" w:cs="Public Sans" w:eastAsia="Public Sans" w:hAnsi="Public Sans"/>
          <w:b w:val="false"/>
          <w:bCs w:val="false"/>
          <w:i w:val="false"/>
          <w:iCs w:val="false"/>
          <w:color w:val="212121"/>
          <w:sz w:val="22"/>
          <w:szCs w:val="22"/>
        </w:rPr>
        <w:t xml:space="preserve">which sends a batch of unique names and asks for groups that refer to the same real-world entity</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The graceful degradation principle </w:t>
      </w:r>
      <w:r>
        <w:rPr>
          <w:rFonts w:ascii="Public Sans" w:cs="Public Sans" w:eastAsia="Public Sans" w:hAnsi="Public Sans"/>
          <w:b w:val="false"/>
          <w:bCs w:val="false"/>
          <w:i w:val="false"/>
          <w:iCs w:val="false"/>
          <w:color w:val="212121"/>
          <w:sz w:val="22"/>
          <w:szCs w:val="22"/>
        </w:rPr>
        <w:t xml:space="preserve">where the LLM layer is optional and the system produces useful results without it</w:t>
      </w:r>
    </w:p>
    <w:p>
      <w:pPr>
        <w:spacing w:after="160" w:before="0"/>
      </w:pPr>
      <w:r>
        <w:t xml:space="preserve"/>
      </w:r>
    </w:p>
    <w:p>
      <w:pPr>
        <w:pStyle w:val="Heading2"/>
        <w:spacing w:after="160" w:before="360"/>
      </w:pPr>
      <w:r>
        <w:rPr>
          <w:rFonts w:ascii="Public Sans" w:cs="Public Sans" w:eastAsia="Public Sans" w:hAnsi="Public Sans"/>
          <w:b/>
          <w:bCs/>
          <w:color w:val="203229"/>
          <w:sz w:val="28"/>
          <w:szCs w:val="28"/>
        </w:rPr>
        <w:t xml:space="preserve">1.3 Why This Matters for SODA</w:t>
      </w:r>
    </w:p>
    <w:p>
      <w:pPr>
        <w:spacing w:after="160" w:before="0"/>
        <w:jc w:val="left"/>
      </w:pPr>
      <w:r>
        <w:rPr>
          <w:rFonts w:ascii="Public Sans" w:cs="Public Sans" w:eastAsia="Public Sans" w:hAnsi="Public Sans"/>
          <w:b w:val="false"/>
          <w:bCs w:val="false"/>
          <w:i w:val="false"/>
          <w:iCs w:val="false"/>
          <w:color w:val="212121"/>
          <w:sz w:val="22"/>
          <w:szCs w:val="22"/>
        </w:rPr>
        <w:t xml:space="preserve">SODA collects freeform display_name entries at QR scan time during live events. Pilot 1 (Coffee Connect, 19 attendees) produced 145 matches. Pilot 3 (BTW Cincinnati, est. 200 attendees) is projected to produce 1,500 or more connection events across three days. Without standardization, the same person can exist as five separate nodes in the relationship graph, each with its own warmth decay timer. The entity standardization system resolves this before it compounds into a data quality problem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E4" w:sz="2"/>
              <w:left w:val="single" w:color="203229" w:sz="12"/>
              <w:bottom w:val="single" w:color="E2E8E4" w:sz="2"/>
              <w:right w:val="single" w:color="E2E8E4" w:sz="2"/>
            </w:tcBorders>
            <w:shd w:fill="EFF6FF" w:val="clear"/>
            <w:tcMar>
              <w:top w:type="dxa" w:w="100"/>
              <w:left w:type="dxa" w:w="180"/>
              <w:bottom w:type="dxa" w:w="100"/>
              <w:right w:type="dxa" w:w="180"/>
            </w:tcMar>
          </w:tcPr>
          <w:p>
            <w:pPr>
              <w:spacing w:after="0" w:before="0"/>
            </w:pPr>
            <w:r>
              <w:rPr>
                <w:rFonts w:ascii="Public Sans" w:cs="Public Sans" w:eastAsia="Public Sans" w:hAnsi="Public Sans"/>
                <w:b/>
                <w:bCs/>
                <w:color w:val="1D4ED8"/>
                <w:sz w:val="18"/>
                <w:szCs w:val="18"/>
              </w:rPr>
              <w:t xml:space="preserve">KEY INSIGHT  </w:t>
            </w:r>
            <w:r>
              <w:rPr>
                <w:rFonts w:ascii="Public Sans" w:cs="Public Sans" w:eastAsia="Public Sans" w:hAnsi="Public Sans"/>
                <w:color w:val="212121"/>
                <w:sz w:val="20"/>
                <w:szCs w:val="20"/>
              </w:rPr>
              <w:t xml:space="preserve">Competitors automate the writing. Equalpoint automates the remembering. Entity standardization is what makes the remembering reliable.</w:t>
            </w:r>
          </w:p>
        </w:tc>
      </w:tr>
    </w:tbl>
    <w:p>
      <w:pPr>
        <w:spacing w:after="240" w:before="0"/>
      </w:pPr>
      <w:r>
        <w:t xml:space="preserve"/>
      </w:r>
    </w:p>
    <w:p>
      <w:pPr>
        <w:pBdr>
          <w:bottom w:val="single" w:color="E2E8E4" w:sz="2" w:space="1"/>
        </w:pBdr>
        <w:spacing w:after="240" w:before="120"/>
      </w:pPr>
      <w:r>
        <w:t xml:space="preserve"/>
      </w:r>
    </w:p>
    <w:p>
      <w:r>
        <w:br w:type="page"/>
      </w:r>
    </w:p>
    <w:p>
      <w:pPr>
        <w:pStyle w:val="Heading1"/>
        <w:pBdr>
          <w:bottom w:val="single" w:color="B1FA63" w:sz="6" w:space="4"/>
        </w:pBdr>
        <w:spacing w:after="200" w:before="480"/>
      </w:pPr>
      <w:r>
        <w:rPr>
          <w:rFonts w:ascii="Public Sans" w:cs="Public Sans" w:eastAsia="Public Sans" w:hAnsi="Public Sans"/>
          <w:b/>
          <w:bCs/>
          <w:color w:val="203229"/>
          <w:sz w:val="36"/>
          <w:szCs w:val="36"/>
        </w:rPr>
        <w:t xml:space="preserve">2. Architecture: The Three-Layer Funnel</w:t>
      </w:r>
    </w:p>
    <w:p>
      <w:pPr>
        <w:spacing w:after="200" w:before="0"/>
        <w:jc w:val="left"/>
      </w:pPr>
      <w:r>
        <w:rPr>
          <w:rFonts w:ascii="Public Sans" w:cs="Public Sans" w:eastAsia="Public Sans" w:hAnsi="Public Sans"/>
          <w:b w:val="false"/>
          <w:bCs w:val="false"/>
          <w:i w:val="false"/>
          <w:iCs w:val="false"/>
          <w:color w:val="212121"/>
          <w:sz w:val="22"/>
          <w:szCs w:val="22"/>
        </w:rPr>
        <w:t xml:space="preserve">The system runs three layers in sequence. Each layer is independent. Each layer catches what the previous one missed. The engine orchestrates all three and exposes a single interface to the rest of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60"/>
        <w:gridCol w:w="2600"/>
      </w:tblGrid>
      <w:tr>
        <w:trPr>
          <w:tblHeader/>
        </w:trPr>
        <w:tc>
          <w:tcPr>
            <w:tcW w:type="dxa" w:w="2200"/>
            <w:tcBorders>
              <w:top w:val="single" w:color="E2E8E4" w:sz="2"/>
              <w:left w:val="single" w:color="E2E8E4" w:sz="2"/>
              <w:bottom w:val="single" w:color="E2E8E4" w:sz="2"/>
              <w:right w:val="single" w:color="E2E8E4" w:sz="2"/>
            </w:tcBorders>
            <w:shd w:fill="203229" w:val="clear"/>
            <w:tcMar>
              <w:top w:type="dxa" w:w="100"/>
              <w:left w:type="dxa" w:w="120"/>
              <w:bottom w:type="dxa" w:w="100"/>
              <w:right w:type="dxa" w:w="120"/>
            </w:tcMar>
          </w:tcPr>
          <w:p>
            <w:r>
              <w:rPr>
                <w:rFonts w:ascii="Public Sans" w:cs="Public Sans" w:eastAsia="Public Sans" w:hAnsi="Public Sans"/>
                <w:b/>
                <w:bCs/>
                <w:color w:val="FFFFFF"/>
                <w:sz w:val="20"/>
                <w:szCs w:val="20"/>
              </w:rPr>
              <w:t xml:space="preserve">Layer</w:t>
            </w:r>
          </w:p>
        </w:tc>
        <w:tc>
          <w:tcPr>
            <w:tcW w:type="dxa" w:w="1500"/>
            <w:tcBorders>
              <w:top w:val="single" w:color="E2E8E4" w:sz="2"/>
              <w:left w:val="single" w:color="E2E8E4" w:sz="2"/>
              <w:bottom w:val="single" w:color="E2E8E4" w:sz="2"/>
              <w:right w:val="single" w:color="E2E8E4" w:sz="2"/>
            </w:tcBorders>
            <w:shd w:fill="203229" w:val="clear"/>
            <w:tcMar>
              <w:top w:type="dxa" w:w="100"/>
              <w:left w:type="dxa" w:w="120"/>
              <w:bottom w:type="dxa" w:w="100"/>
              <w:right w:type="dxa" w:w="120"/>
            </w:tcMar>
          </w:tcPr>
          <w:p>
            <w:r>
              <w:rPr>
                <w:rFonts w:ascii="Public Sans" w:cs="Public Sans" w:eastAsia="Public Sans" w:hAnsi="Public Sans"/>
                <w:b/>
                <w:bCs/>
                <w:color w:val="FFFFFF"/>
                <w:sz w:val="20"/>
                <w:szCs w:val="20"/>
              </w:rPr>
              <w:t xml:space="preserve">Cost</w:t>
            </w:r>
          </w:p>
        </w:tc>
        <w:tc>
          <w:tcPr>
            <w:tcW w:type="dxa" w:w="1500"/>
            <w:tcBorders>
              <w:top w:val="single" w:color="E2E8E4" w:sz="2"/>
              <w:left w:val="single" w:color="E2E8E4" w:sz="2"/>
              <w:bottom w:val="single" w:color="E2E8E4" w:sz="2"/>
              <w:right w:val="single" w:color="E2E8E4" w:sz="2"/>
            </w:tcBorders>
            <w:shd w:fill="203229" w:val="clear"/>
            <w:tcMar>
              <w:top w:type="dxa" w:w="100"/>
              <w:left w:type="dxa" w:w="120"/>
              <w:bottom w:type="dxa" w:w="100"/>
              <w:right w:type="dxa" w:w="120"/>
            </w:tcMar>
          </w:tcPr>
          <w:p>
            <w:r>
              <w:rPr>
                <w:rFonts w:ascii="Public Sans" w:cs="Public Sans" w:eastAsia="Public Sans" w:hAnsi="Public Sans"/>
                <w:b/>
                <w:bCs/>
                <w:color w:val="FFFFFF"/>
                <w:sz w:val="20"/>
                <w:szCs w:val="20"/>
              </w:rPr>
              <w:t xml:space="preserve">Speed</w:t>
            </w:r>
          </w:p>
        </w:tc>
        <w:tc>
          <w:tcPr>
            <w:tcW w:type="dxa" w:w="1560"/>
            <w:tcBorders>
              <w:top w:val="single" w:color="E2E8E4" w:sz="2"/>
              <w:left w:val="single" w:color="E2E8E4" w:sz="2"/>
              <w:bottom w:val="single" w:color="E2E8E4" w:sz="2"/>
              <w:right w:val="single" w:color="E2E8E4" w:sz="2"/>
            </w:tcBorders>
            <w:shd w:fill="203229" w:val="clear"/>
            <w:tcMar>
              <w:top w:type="dxa" w:w="100"/>
              <w:left w:type="dxa" w:w="120"/>
              <w:bottom w:type="dxa" w:w="100"/>
              <w:right w:type="dxa" w:w="120"/>
            </w:tcMar>
          </w:tcPr>
          <w:p>
            <w:r>
              <w:rPr>
                <w:rFonts w:ascii="Public Sans" w:cs="Public Sans" w:eastAsia="Public Sans" w:hAnsi="Public Sans"/>
                <w:b/>
                <w:bCs/>
                <w:color w:val="FFFFFF"/>
                <w:sz w:val="20"/>
                <w:szCs w:val="20"/>
              </w:rPr>
              <w:t xml:space="preserve">When runs</w:t>
            </w:r>
          </w:p>
        </w:tc>
        <w:tc>
          <w:tcPr>
            <w:tcW w:type="dxa" w:w="2600"/>
            <w:tcBorders>
              <w:top w:val="single" w:color="E2E8E4" w:sz="2"/>
              <w:left w:val="single" w:color="E2E8E4" w:sz="2"/>
              <w:bottom w:val="single" w:color="E2E8E4" w:sz="2"/>
              <w:right w:val="single" w:color="E2E8E4" w:sz="2"/>
            </w:tcBorders>
            <w:shd w:fill="203229" w:val="clear"/>
            <w:tcMar>
              <w:top w:type="dxa" w:w="100"/>
              <w:left w:type="dxa" w:w="120"/>
              <w:bottom w:type="dxa" w:w="100"/>
              <w:right w:type="dxa" w:w="120"/>
            </w:tcMar>
          </w:tcPr>
          <w:p>
            <w:r>
              <w:rPr>
                <w:rFonts w:ascii="Public Sans" w:cs="Public Sans" w:eastAsia="Public Sans" w:hAnsi="Public Sans"/>
                <w:b/>
                <w:bCs/>
                <w:color w:val="FFFFFF"/>
                <w:sz w:val="20"/>
                <w:szCs w:val="20"/>
              </w:rPr>
              <w:t xml:space="preserve">What it catches</w:t>
            </w:r>
          </w:p>
        </w:tc>
      </w:tr>
      <w:tr>
        <w:trPr>
          <w:tblHeader w:val="false"/>
        </w:trPr>
        <w:tc>
          <w:tcPr>
            <w:tcW w:type="dxa" w:w="22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Layer 1: Normalize</w:t>
            </w:r>
          </w:p>
        </w:tc>
        <w:tc>
          <w:tcPr>
            <w:tcW w:type="dxa" w:w="15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Free</w:t>
            </w:r>
          </w:p>
        </w:tc>
        <w:tc>
          <w:tcPr>
            <w:tcW w:type="dxa" w:w="15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Instant</w:t>
            </w:r>
          </w:p>
        </w:tc>
        <w:tc>
          <w:tcPr>
            <w:tcW w:type="dxa" w:w="156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At write time</w:t>
            </w:r>
          </w:p>
        </w:tc>
        <w:tc>
          <w:tcPr>
            <w:tcW w:type="dxa" w:w="26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"Mike Johnson." vs "mike johnson"</w:t>
            </w:r>
          </w:p>
        </w:tc>
      </w:tr>
      <w:tr>
        <w:trPr>
          <w:tblHeader w:val="false"/>
        </w:trPr>
        <w:tc>
          <w:tcPr>
            <w:tcW w:type="dxa" w:w="220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Public Sans" w:cs="Public Sans" w:eastAsia="Public Sans" w:hAnsi="Public Sans"/>
                <w:color w:val="212121"/>
                <w:sz w:val="20"/>
                <w:szCs w:val="20"/>
              </w:rPr>
              <w:t xml:space="preserve">Layer 2: Fuzzy</w:t>
            </w:r>
          </w:p>
        </w:tc>
        <w:tc>
          <w:tcPr>
            <w:tcW w:type="dxa" w:w="150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Public Sans" w:cs="Public Sans" w:eastAsia="Public Sans" w:hAnsi="Public Sans"/>
                <w:color w:val="212121"/>
                <w:sz w:val="20"/>
                <w:szCs w:val="20"/>
              </w:rPr>
              <w:t xml:space="preserve">Free</w:t>
            </w:r>
          </w:p>
        </w:tc>
        <w:tc>
          <w:tcPr>
            <w:tcW w:type="dxa" w:w="150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Public Sans" w:cs="Public Sans" w:eastAsia="Public Sans" w:hAnsi="Public Sans"/>
                <w:color w:val="212121"/>
                <w:sz w:val="20"/>
                <w:szCs w:val="20"/>
              </w:rPr>
              <w:t xml:space="preserve">Fast</w:t>
            </w:r>
          </w:p>
        </w:tc>
        <w:tc>
          <w:tcPr>
            <w:tcW w:type="dxa" w:w="156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Public Sans" w:cs="Public Sans" w:eastAsia="Public Sans" w:hAnsi="Public Sans"/>
                <w:color w:val="212121"/>
                <w:sz w:val="20"/>
                <w:szCs w:val="20"/>
              </w:rPr>
              <w:t xml:space="preserve">At read time</w:t>
            </w:r>
          </w:p>
        </w:tc>
        <w:tc>
          <w:tcPr>
            <w:tcW w:type="dxa" w:w="260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Public Sans" w:cs="Public Sans" w:eastAsia="Public Sans" w:hAnsi="Public Sans"/>
                <w:color w:val="212121"/>
                <w:sz w:val="20"/>
                <w:szCs w:val="20"/>
              </w:rPr>
              <w:t xml:space="preserve">"Mike" vs "Michael", typos, word order</w:t>
            </w:r>
          </w:p>
        </w:tc>
      </w:tr>
      <w:tr>
        <w:trPr>
          <w:tblHeader w:val="false"/>
        </w:trPr>
        <w:tc>
          <w:tcPr>
            <w:tcW w:type="dxa" w:w="22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Layer 3: AI</w:t>
            </w:r>
          </w:p>
        </w:tc>
        <w:tc>
          <w:tcPr>
            <w:tcW w:type="dxa" w:w="15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API cost</w:t>
            </w:r>
          </w:p>
        </w:tc>
        <w:tc>
          <w:tcPr>
            <w:tcW w:type="dxa" w:w="15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Async</w:t>
            </w:r>
          </w:p>
        </w:tc>
        <w:tc>
          <w:tcPr>
            <w:tcW w:type="dxa" w:w="156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Optional / batch</w:t>
            </w:r>
          </w:p>
        </w:tc>
        <w:tc>
          <w:tcPr>
            <w:tcW w:type="dxa" w:w="26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"BTW" vs "Black Tech Week", semantic synonyms</w:t>
            </w:r>
          </w:p>
        </w:tc>
      </w:tr>
    </w:tbl>
    <w:p>
      <w:pPr>
        <w:spacing w:after="400" w:before="0"/>
      </w:pPr>
      <w:r>
        <w:t xml:space="preserve"/>
      </w:r>
    </w:p>
    <w:p>
      <w:pPr>
        <w:pStyle w:val="Heading2"/>
        <w:spacing w:after="160" w:before="360"/>
      </w:pPr>
      <w:r>
        <w:rPr>
          <w:rFonts w:ascii="Public Sans" w:cs="Public Sans" w:eastAsia="Public Sans" w:hAnsi="Public Sans"/>
          <w:b/>
          <w:bCs/>
          <w:color w:val="203229"/>
          <w:sz w:val="28"/>
          <w:szCs w:val="28"/>
        </w:rPr>
        <w:t xml:space="preserve">2.1 Layer 1: Text Normalization</w:t>
      </w:r>
    </w:p>
    <w:p>
      <w:pPr>
        <w:spacing w:after="120" w:before="0"/>
        <w:jc w:val="left"/>
      </w:pPr>
      <w:r>
        <w:rPr>
          <w:rFonts w:ascii="Public Sans" w:cs="Public Sans" w:eastAsia="Public Sans" w:hAnsi="Public Sans"/>
          <w:b w:val="false"/>
          <w:bCs w:val="false"/>
          <w:i w:val="false"/>
          <w:iCs w:val="false"/>
          <w:color w:val="212121"/>
          <w:sz w:val="22"/>
          <w:szCs w:val="22"/>
        </w:rPr>
        <w:t xml:space="preserve">Layer 1 runs synchronously at write time via both a Supabase database trigger and a TypeScript helper. It is always active and costs nothing. It catches the easy duplicates before they ever hit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E4" w:sz="2"/>
              <w:left w:val="single" w:color="203229" w:sz="12"/>
              <w:bottom w:val="single" w:color="E2E8E4" w:sz="2"/>
              <w:right w:val="single" w:color="E2E8E4" w:sz="2"/>
            </w:tcBorders>
            <w:shd w:fill="F0FDF4" w:val="clear"/>
            <w:tcMar>
              <w:top w:type="dxa" w:w="100"/>
              <w:left w:type="dxa" w:w="180"/>
              <w:bottom w:type="dxa" w:w="100"/>
              <w:right w:type="dxa" w:w="180"/>
            </w:tcMar>
          </w:tcPr>
          <w:p>
            <w:pPr>
              <w:spacing w:after="0" w:before="0"/>
            </w:pPr>
            <w:r>
              <w:rPr>
                <w:rFonts w:ascii="Public Sans" w:cs="Public Sans" w:eastAsia="Public Sans" w:hAnsi="Public Sans"/>
                <w:b/>
                <w:bCs/>
                <w:color w:val="166534"/>
                <w:sz w:val="18"/>
                <w:szCs w:val="18"/>
              </w:rPr>
              <w:t xml:space="preserve">CATCHES  </w:t>
            </w:r>
            <w:r>
              <w:rPr>
                <w:rFonts w:ascii="Public Sans" w:cs="Public Sans" w:eastAsia="Public Sans" w:hAnsi="Public Sans"/>
                <w:color w:val="212121"/>
                <w:sz w:val="20"/>
                <w:szCs w:val="20"/>
              </w:rPr>
              <w:t xml:space="preserve">"Mike Johnson." vs "mike johnson"  |  double spaces  |  trailing punctuation  |  case variants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E4" w:sz="2"/>
              <w:left w:val="single" w:color="203229" w:sz="12"/>
              <w:bottom w:val="single" w:color="E2E8E4" w:sz="2"/>
              <w:right w:val="single" w:color="E2E8E4" w:sz="2"/>
            </w:tcBorders>
            <w:shd w:fill="FEF2F2" w:val="clear"/>
            <w:tcMar>
              <w:top w:type="dxa" w:w="100"/>
              <w:left w:type="dxa" w:w="180"/>
              <w:bottom w:type="dxa" w:w="100"/>
              <w:right w:type="dxa" w:w="180"/>
            </w:tcMar>
          </w:tcPr>
          <w:p>
            <w:pPr>
              <w:spacing w:after="0" w:before="0"/>
            </w:pPr>
            <w:r>
              <w:rPr>
                <w:rFonts w:ascii="Public Sans" w:cs="Public Sans" w:eastAsia="Public Sans" w:hAnsi="Public Sans"/>
                <w:b/>
                <w:bCs/>
                <w:color w:val="DC2626"/>
                <w:sz w:val="18"/>
                <w:szCs w:val="18"/>
              </w:rPr>
              <w:t xml:space="preserve">DOES NOT CATCH  </w:t>
            </w:r>
            <w:r>
              <w:rPr>
                <w:rFonts w:ascii="Public Sans" w:cs="Public Sans" w:eastAsia="Public Sans" w:hAnsi="Public Sans"/>
                <w:color w:val="212121"/>
                <w:sz w:val="20"/>
                <w:szCs w:val="20"/>
              </w:rPr>
              <w:t xml:space="preserve">"Michael Johnson" vs "Mike Johnson"  |  "AI" vs "Artificial Intelligence"  |  semantic synonyms</w:t>
            </w:r>
          </w:p>
        </w:tc>
      </w:tr>
    </w:tbl>
    <w:p>
      <w:pPr>
        <w:spacing w:after="240" w:before="0"/>
      </w:pPr>
      <w:r>
        <w:t xml:space="preserve"/>
      </w:r>
    </w:p>
    <w:p>
      <w:pPr>
        <w:spacing w:after="160" w:before="0"/>
        <w:jc w:val="left"/>
      </w:pPr>
      <w:r>
        <w:rPr>
          <w:rFonts w:ascii="Public Sans" w:cs="Public Sans" w:eastAsia="Public Sans" w:hAnsi="Public Sans"/>
          <w:b w:val="false"/>
          <w:bCs w:val="false"/>
          <w:i w:val="false"/>
          <w:iCs w:val="false"/>
          <w:color w:val="212121"/>
          <w:sz w:val="22"/>
          <w:szCs w:val="22"/>
        </w:rPr>
        <w:t xml:space="preserve">The Supabase trigger and the TypeScript helper must stay in sync. If you change the normalization logic in code, update the SQL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E4" w:sz="2"/>
              <w:left w:val="single" w:color="E2E8E4" w:sz="2"/>
              <w:bottom w:val="single" w:color="E2E8E4" w:sz="2"/>
              <w:right w:val="single" w:color="E2E8E4" w:sz="2"/>
            </w:tcBorders>
            <w:shd w:fill="1E2D25" w:val="clear"/>
            <w:tcMar>
              <w:top w:type="dxa" w:w="120"/>
              <w:left w:type="dxa" w:w="180"/>
              <w:bottom w:type="dxa" w:w="120"/>
              <w:right w:type="dxa" w:w="180"/>
            </w:tcMar>
          </w:tcPr>
          <w:p>
            <w:pPr>
              <w:spacing w:after="40" w:before="0"/>
            </w:pPr>
            <w:r>
              <w:rPr>
                <w:rFonts w:ascii="Courier New" w:cs="Courier New" w:eastAsia="Courier New" w:hAnsi="Courier New"/>
                <w:color w:val="B1FA63"/>
                <w:sz w:val="18"/>
                <w:szCs w:val="18"/>
              </w:rPr>
              <w:t xml:space="preserve">// lib/standardization/layer1-normalize.ts</w:t>
            </w:r>
          </w:p>
          <w:p>
            <w:pPr>
              <w:spacing w:after="40" w:before="0"/>
            </w:pPr>
            <w:r>
              <w:rPr>
                <w:rFonts w:ascii="Courier New" w:cs="Courier New" w:eastAsia="Courier New" w:hAnsi="Courier New"/>
                <w:color w:val="B1FA63"/>
                <w:sz w:val="18"/>
                <w:szCs w:val="18"/>
              </w:rPr>
              <w:t xml:space="preserve">export function normalizeName(raw: string): string {</w:t>
            </w:r>
          </w:p>
          <w:p>
            <w:pPr>
              <w:spacing w:after="40" w:before="0"/>
            </w:pPr>
            <w:r>
              <w:rPr>
                <w:rFonts w:ascii="Courier New" w:cs="Courier New" w:eastAsia="Courier New" w:hAnsi="Courier New"/>
                <w:color w:val="B1FA63"/>
                <w:sz w:val="18"/>
                <w:szCs w:val="18"/>
              </w:rPr>
              <w:t xml:space="preserve">  return raw</w:t>
            </w:r>
          </w:p>
          <w:p>
            <w:pPr>
              <w:spacing w:after="40" w:before="0"/>
            </w:pPr>
            <w:r>
              <w:rPr>
                <w:rFonts w:ascii="Courier New" w:cs="Courier New" w:eastAsia="Courier New" w:hAnsi="Courier New"/>
                <w:color w:val="B1FA63"/>
                <w:sz w:val="18"/>
                <w:szCs w:val="18"/>
              </w:rPr>
              <w:t xml:space="preserve">    .trim()</w:t>
            </w:r>
          </w:p>
          <w:p>
            <w:pPr>
              <w:spacing w:after="40" w:before="0"/>
            </w:pPr>
            <w:r>
              <w:rPr>
                <w:rFonts w:ascii="Courier New" w:cs="Courier New" w:eastAsia="Courier New" w:hAnsi="Courier New"/>
                <w:color w:val="B1FA63"/>
                <w:sz w:val="18"/>
                <w:szCs w:val="18"/>
              </w:rPr>
              <w:t xml:space="preserve">    .toLowerCase()</w:t>
            </w:r>
          </w:p>
          <w:p>
            <w:pPr>
              <w:spacing w:after="40" w:before="0"/>
            </w:pPr>
            <w:r>
              <w:rPr>
                <w:rFonts w:ascii="Courier New" w:cs="Courier New" w:eastAsia="Courier New" w:hAnsi="Courier New"/>
                <w:color w:val="B1FA63"/>
                <w:sz w:val="18"/>
                <w:szCs w:val="18"/>
              </w:rPr>
              <w:t xml:space="preserve">    .replace(/\s+/g, ' ')</w:t>
            </w:r>
          </w:p>
          <w:p>
            <w:pPr>
              <w:spacing w:after="40" w:before="0"/>
            </w:pPr>
            <w:r>
              <w:rPr>
                <w:rFonts w:ascii="Courier New" w:cs="Courier New" w:eastAsia="Courier New" w:hAnsi="Courier New"/>
                <w:color w:val="B1FA63"/>
                <w:sz w:val="18"/>
                <w:szCs w:val="18"/>
              </w:rPr>
              <w:t xml:space="preserve">    .replace(/[^\w\s'\-\.]/g, '')</w:t>
            </w:r>
          </w:p>
          <w:p>
            <w:pPr>
              <w:spacing w:after="40" w:before="0"/>
            </w:pPr>
            <w:r>
              <w:rPr>
                <w:rFonts w:ascii="Courier New" w:cs="Courier New" w:eastAsia="Courier New" w:hAnsi="Courier New"/>
                <w:color w:val="B1FA63"/>
                <w:sz w:val="18"/>
                <w:szCs w:val="18"/>
              </w:rPr>
              <w:t xml:space="preserve">    .replace(/\.$/, '')</w:t>
            </w:r>
          </w:p>
          <w:p>
            <w:pPr>
              <w:spacing w:after="40" w:before="0"/>
            </w:pPr>
            <w:r>
              <w:rPr>
                <w:rFonts w:ascii="Courier New" w:cs="Courier New" w:eastAsia="Courier New" w:hAnsi="Courier New"/>
                <w:color w:val="B1FA63"/>
                <w:sz w:val="18"/>
                <w:szCs w:val="18"/>
              </w:rPr>
              <w:t xml:space="preserve">    .trim()</w:t>
            </w:r>
          </w:p>
          <w:p>
            <w:pPr>
              <w:spacing w:after="40" w:before="0"/>
            </w:pPr>
            <w:r>
              <w:rPr>
                <w:rFonts w:ascii="Courier New" w:cs="Courier New" w:eastAsia="Courier New" w:hAnsi="Courier New"/>
                <w:color w:val="B1FA63"/>
                <w:sz w:val="18"/>
                <w:szCs w:val="18"/>
              </w:rPr>
              <w:t xml:space="preserve">}</w:t>
            </w:r>
          </w:p>
        </w:tc>
      </w:tr>
    </w:tbl>
    <w:p>
      <w:pPr>
        <w:spacing w:after="320" w:before="0"/>
      </w:pPr>
      <w:r>
        <w:t xml:space="preserve"/>
      </w:r>
    </w:p>
    <w:p>
      <w:pPr>
        <w:pStyle w:val="Heading2"/>
        <w:spacing w:after="160" w:before="360"/>
      </w:pPr>
      <w:r>
        <w:rPr>
          <w:rFonts w:ascii="Public Sans" w:cs="Public Sans" w:eastAsia="Public Sans" w:hAnsi="Public Sans"/>
          <w:b/>
          <w:bCs/>
          <w:color w:val="203229"/>
          <w:sz w:val="28"/>
          <w:szCs w:val="28"/>
        </w:rPr>
        <w:t xml:space="preserve">2.2 Layer 2: Fuzzy Matching</w:t>
      </w:r>
    </w:p>
    <w:p>
      <w:pPr>
        <w:spacing w:after="120" w:before="0"/>
        <w:jc w:val="left"/>
      </w:pPr>
      <w:r>
        <w:rPr>
          <w:rFonts w:ascii="Public Sans" w:cs="Public Sans" w:eastAsia="Public Sans" w:hAnsi="Public Sans"/>
          <w:b w:val="false"/>
          <w:bCs w:val="false"/>
          <w:i w:val="false"/>
          <w:iCs w:val="false"/>
          <w:color w:val="212121"/>
          <w:sz w:val="22"/>
          <w:szCs w:val="22"/>
        </w:rPr>
        <w:t xml:space="preserve">Layer 2 runs at read time when a new connection is created. It checks the incoming display_name against all existing connections for that owner using three string similarity algorithms. The highest score across all three determines whether a candidate is surfaced.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E4" w:sz="2"/>
              <w:left w:val="single" w:color="203229" w:sz="12"/>
              <w:bottom w:val="single" w:color="E2E8E4" w:sz="2"/>
              <w:right w:val="single" w:color="E2E8E4" w:sz="2"/>
            </w:tcBorders>
            <w:shd w:fill="F0FDF4" w:val="clear"/>
            <w:tcMar>
              <w:top w:type="dxa" w:w="100"/>
              <w:left w:type="dxa" w:w="180"/>
              <w:bottom w:type="dxa" w:w="100"/>
              <w:right w:type="dxa" w:w="180"/>
            </w:tcMar>
          </w:tcPr>
          <w:p>
            <w:pPr>
              <w:spacing w:after="0" w:before="0"/>
            </w:pPr>
            <w:r>
              <w:rPr>
                <w:rFonts w:ascii="Public Sans" w:cs="Public Sans" w:eastAsia="Public Sans" w:hAnsi="Public Sans"/>
                <w:b/>
                <w:bCs/>
                <w:color w:val="166534"/>
                <w:sz w:val="18"/>
                <w:szCs w:val="18"/>
              </w:rPr>
              <w:t xml:space="preserve">CATCHES  </w:t>
            </w:r>
            <w:r>
              <w:rPr>
                <w:rFonts w:ascii="Public Sans" w:cs="Public Sans" w:eastAsia="Public Sans" w:hAnsi="Public Sans"/>
                <w:color w:val="212121"/>
                <w:sz w:val="20"/>
                <w:szCs w:val="20"/>
              </w:rPr>
              <w:t xml:space="preserve">"Mike" vs "Michael"  |  "Johnson Mike" vs "Mike Johnson"  |  "Equallpoint" vs "Equalpoint"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E4" w:sz="2"/>
              <w:left w:val="single" w:color="203229" w:sz="12"/>
              <w:bottom w:val="single" w:color="E2E8E4" w:sz="2"/>
              <w:right w:val="single" w:color="E2E8E4" w:sz="2"/>
            </w:tcBorders>
            <w:shd w:fill="FEF2F2" w:val="clear"/>
            <w:tcMar>
              <w:top w:type="dxa" w:w="100"/>
              <w:left w:type="dxa" w:w="180"/>
              <w:bottom w:type="dxa" w:w="100"/>
              <w:right w:type="dxa" w:w="180"/>
            </w:tcMar>
          </w:tcPr>
          <w:p>
            <w:pPr>
              <w:spacing w:after="0" w:before="0"/>
            </w:pPr>
            <w:r>
              <w:rPr>
                <w:rFonts w:ascii="Public Sans" w:cs="Public Sans" w:eastAsia="Public Sans" w:hAnsi="Public Sans"/>
                <w:b/>
                <w:bCs/>
                <w:color w:val="DC2626"/>
                <w:sz w:val="18"/>
                <w:szCs w:val="18"/>
              </w:rPr>
              <w:t xml:space="preserve">DOES NOT CATCH  </w:t>
            </w:r>
            <w:r>
              <w:rPr>
                <w:rFonts w:ascii="Public Sans" w:cs="Public Sans" w:eastAsia="Public Sans" w:hAnsi="Public Sans"/>
                <w:color w:val="212121"/>
                <w:sz w:val="20"/>
                <w:szCs w:val="20"/>
              </w:rPr>
              <w:t xml:space="preserve">"AI" vs "Artificial Intelligence"  |  "founder" vs "entrepreneur"  |  semantic concepts</w:t>
            </w:r>
          </w:p>
        </w:tc>
      </w:tr>
    </w:tbl>
    <w:p>
      <w:pPr>
        <w:spacing w:after="240" w:before="0"/>
      </w:pPr>
      <w:r>
        <w:t xml:space="preserve"/>
      </w:r>
    </w:p>
    <w:p>
      <w:pPr>
        <w:spacing w:after="80" w:before="0"/>
        <w:jc w:val="left"/>
      </w:pPr>
      <w:r>
        <w:rPr>
          <w:rFonts w:ascii="Public Sans" w:cs="Public Sans" w:eastAsia="Public Sans" w:hAnsi="Public Sans"/>
          <w:b w:val="false"/>
          <w:bCs w:val="false"/>
          <w:i w:val="false"/>
          <w:iCs w:val="false"/>
          <w:color w:val="212121"/>
          <w:sz w:val="22"/>
          <w:szCs w:val="22"/>
        </w:rPr>
        <w:t xml:space="preserve">Three algorithms run in parallel. The maximum score wins:</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Jaro-Winkler </w:t>
      </w:r>
      <w:r>
        <w:rPr>
          <w:rFonts w:ascii="Public Sans" w:cs="Public Sans" w:eastAsia="Public Sans" w:hAnsi="Public Sans"/>
          <w:b w:val="false"/>
          <w:bCs w:val="false"/>
          <w:i w:val="false"/>
          <w:iCs w:val="false"/>
          <w:color w:val="212121"/>
          <w:sz w:val="22"/>
          <w:szCs w:val="22"/>
        </w:rPr>
        <w:t xml:space="preserve">gives bonus score for matching prefixes. Best for person names where the first few characters are the most identifying.</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Token Sort </w:t>
      </w:r>
      <w:r>
        <w:rPr>
          <w:rFonts w:ascii="Public Sans" w:cs="Public Sans" w:eastAsia="Public Sans" w:hAnsi="Public Sans"/>
          <w:b w:val="false"/>
          <w:bCs w:val="false"/>
          <w:i w:val="false"/>
          <w:iCs w:val="false"/>
          <w:color w:val="212121"/>
          <w:sz w:val="22"/>
          <w:szCs w:val="22"/>
        </w:rPr>
        <w:t xml:space="preserve">sorts words alphabetically before comparing. Catches "Johnson Mike" vs "Mike Johnson".</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Levenshtein </w:t>
      </w:r>
      <w:r>
        <w:rPr>
          <w:rFonts w:ascii="Public Sans" w:cs="Public Sans" w:eastAsia="Public Sans" w:hAnsi="Public Sans"/>
          <w:b w:val="false"/>
          <w:bCs w:val="false"/>
          <w:i w:val="false"/>
          <w:iCs w:val="false"/>
          <w:color w:val="212121"/>
          <w:sz w:val="22"/>
          <w:szCs w:val="22"/>
        </w:rPr>
        <w:t xml:space="preserve">counts character edits. Best for typos and minor spelling variants.</w:t>
      </w:r>
    </w:p>
    <w:p>
      <w:pPr>
        <w:spacing w:after="160" w:before="0"/>
      </w:pPr>
      <w:r>
        <w:t xml:space="preserve"/>
      </w:r>
    </w:p>
    <w:p>
      <w:pPr>
        <w:spacing w:after="80" w:before="0"/>
        <w:jc w:val="left"/>
      </w:pPr>
      <w:r>
        <w:rPr>
          <w:rFonts w:ascii="Public Sans" w:cs="Public Sans" w:eastAsia="Public Sans" w:hAnsi="Public Sans"/>
          <w:b w:val="false"/>
          <w:bCs w:val="false"/>
          <w:i w:val="false"/>
          <w:iCs w:val="false"/>
          <w:color w:val="212121"/>
          <w:sz w:val="22"/>
          <w:szCs w:val="22"/>
        </w:rPr>
        <w:t xml:space="preserve">Confidence thresholds:</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0.92 and above </w:t>
      </w:r>
      <w:r>
        <w:rPr>
          <w:rFonts w:ascii="Public Sans" w:cs="Public Sans" w:eastAsia="Public Sans" w:hAnsi="Public Sans"/>
          <w:b w:val="false"/>
          <w:bCs w:val="false"/>
          <w:i w:val="false"/>
          <w:iCs w:val="false"/>
          <w:color w:val="212121"/>
          <w:sz w:val="22"/>
          <w:szCs w:val="22"/>
        </w:rPr>
        <w:t xml:space="preserve">"Very likely" (high confidence) — show merge prompt prominently</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0.75 to 0.91 </w:t>
      </w:r>
      <w:r>
        <w:rPr>
          <w:rFonts w:ascii="Public Sans" w:cs="Public Sans" w:eastAsia="Public Sans" w:hAnsi="Public Sans"/>
          <w:b w:val="false"/>
          <w:bCs w:val="false"/>
          <w:i w:val="false"/>
          <w:iCs w:val="false"/>
          <w:color w:val="212121"/>
          <w:sz w:val="22"/>
          <w:szCs w:val="22"/>
        </w:rPr>
        <w:t xml:space="preserve">"Possibly" (medium confidence) — show as suggestion</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0.60 to 0.74 </w:t>
      </w:r>
      <w:r>
        <w:rPr>
          <w:rFonts w:ascii="Public Sans" w:cs="Public Sans" w:eastAsia="Public Sans" w:hAnsi="Public Sans"/>
          <w:b w:val="false"/>
          <w:bCs w:val="false"/>
          <w:i w:val="false"/>
          <w:iCs w:val="false"/>
          <w:color w:val="212121"/>
          <w:sz w:val="22"/>
          <w:szCs w:val="22"/>
        </w:rPr>
        <w:t xml:space="preserve">"Maybe" (low confidence) — logged, not surfaced to user</w:t>
      </w:r>
    </w:p>
    <w:p>
      <w:pPr>
        <w:spacing w:after="320" w:before="0"/>
      </w:pPr>
      <w:r>
        <w:t xml:space="preserve"/>
      </w:r>
    </w:p>
    <w:p>
      <w:pPr>
        <w:pStyle w:val="Heading2"/>
        <w:spacing w:after="160" w:before="360"/>
      </w:pPr>
      <w:r>
        <w:rPr>
          <w:rFonts w:ascii="Public Sans" w:cs="Public Sans" w:eastAsia="Public Sans" w:hAnsi="Public Sans"/>
          <w:b/>
          <w:bCs/>
          <w:color w:val="203229"/>
          <w:sz w:val="28"/>
          <w:szCs w:val="28"/>
        </w:rPr>
        <w:t xml:space="preserve">2.3 Layer 3: Claude AI Resolution</w:t>
      </w:r>
    </w:p>
    <w:p>
      <w:pPr>
        <w:spacing w:after="120" w:before="0"/>
        <w:jc w:val="left"/>
      </w:pPr>
      <w:r>
        <w:rPr>
          <w:rFonts w:ascii="Public Sans" w:cs="Public Sans" w:eastAsia="Public Sans" w:hAnsi="Public Sans"/>
          <w:b w:val="false"/>
          <w:bCs w:val="false"/>
          <w:i w:val="false"/>
          <w:iCs w:val="false"/>
          <w:color w:val="212121"/>
          <w:sz w:val="22"/>
          <w:szCs w:val="22"/>
        </w:rPr>
        <w:t xml:space="preserve">Layer 3 activates automatically when ANTHROPIC_API_KEY is set in Doppler. It catches semantic equivalences that string math cannot detect. The AI layer runs in two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E4" w:sz="2"/>
              <w:left w:val="single" w:color="203229" w:sz="12"/>
              <w:bottom w:val="single" w:color="E2E8E4" w:sz="2"/>
              <w:right w:val="single" w:color="E2E8E4" w:sz="2"/>
            </w:tcBorders>
            <w:shd w:fill="F0FDF4" w:val="clear"/>
            <w:tcMar>
              <w:top w:type="dxa" w:w="100"/>
              <w:left w:type="dxa" w:w="180"/>
              <w:bottom w:type="dxa" w:w="100"/>
              <w:right w:type="dxa" w:w="180"/>
            </w:tcMar>
          </w:tcPr>
          <w:p>
            <w:pPr>
              <w:spacing w:after="0" w:before="0"/>
            </w:pPr>
            <w:r>
              <w:rPr>
                <w:rFonts w:ascii="Public Sans" w:cs="Public Sans" w:eastAsia="Public Sans" w:hAnsi="Public Sans"/>
                <w:b/>
                <w:bCs/>
                <w:color w:val="166534"/>
                <w:sz w:val="18"/>
                <w:szCs w:val="18"/>
              </w:rPr>
              <w:t xml:space="preserve">CATCHES  </w:t>
            </w:r>
            <w:r>
              <w:rPr>
                <w:rFonts w:ascii="Public Sans" w:cs="Public Sans" w:eastAsia="Public Sans" w:hAnsi="Public Sans"/>
                <w:color w:val="212121"/>
                <w:sz w:val="20"/>
                <w:szCs w:val="20"/>
              </w:rPr>
              <w:t xml:space="preserve">"BTW" vs "Black Tech Week"  |  "Mike" vs "Michael" (nickname)  |  "warmth score" vs "relationship health"</w:t>
            </w:r>
          </w:p>
        </w:tc>
      </w:tr>
    </w:tbl>
    <w:p>
      <w:pPr>
        <w:spacing w:after="240" w:before="0"/>
      </w:pPr>
      <w:r>
        <w:t xml:space="preserve"/>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Pair confirmation </w:t>
      </w:r>
      <w:r>
        <w:rPr>
          <w:rFonts w:ascii="Public Sans" w:cs="Public Sans" w:eastAsia="Public Sans" w:hAnsi="Public Sans"/>
          <w:b w:val="false"/>
          <w:bCs w:val="false"/>
          <w:i w:val="false"/>
          <w:iCs w:val="false"/>
          <w:color w:val="212121"/>
          <w:sz w:val="22"/>
          <w:szCs w:val="22"/>
        </w:rPr>
        <w:t xml:space="preserve">runs in real time for medium-confidence Layer 2 matches. Asks Claude whether two specific names refer to the same person, using title and city as additional context.</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Batch resolution </w:t>
      </w:r>
      <w:r>
        <w:rPr>
          <w:rFonts w:ascii="Public Sans" w:cs="Public Sans" w:eastAsia="Public Sans" w:hAnsi="Public Sans"/>
          <w:b w:val="false"/>
          <w:bCs w:val="false"/>
          <w:i w:val="false"/>
          <w:iCs w:val="false"/>
          <w:color w:val="212121"/>
          <w:sz w:val="22"/>
          <w:szCs w:val="22"/>
        </w:rPr>
        <w:t xml:space="preserve">runs post-pilot against the full connection set. Sends up to 50 unique names per call and asks Claude to group them. Used by Nelson for Study One research data cleaning.</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E4" w:sz="2"/>
              <w:left w:val="single" w:color="203229" w:sz="12"/>
              <w:bottom w:val="single" w:color="E2E8E4" w:sz="2"/>
              <w:right w:val="single" w:color="E2E8E4" w:sz="2"/>
            </w:tcBorders>
            <w:shd w:fill="FFFBEB" w:val="clear"/>
            <w:tcMar>
              <w:top w:type="dxa" w:w="100"/>
              <w:left w:type="dxa" w:w="180"/>
              <w:bottom w:type="dxa" w:w="100"/>
              <w:right w:type="dxa" w:w="180"/>
            </w:tcMar>
          </w:tcPr>
          <w:p>
            <w:pPr>
              <w:spacing w:after="0" w:before="0"/>
            </w:pPr>
            <w:r>
              <w:rPr>
                <w:rFonts w:ascii="Public Sans" w:cs="Public Sans" w:eastAsia="Public Sans" w:hAnsi="Public Sans"/>
                <w:b/>
                <w:bCs/>
                <w:color w:val="92400E"/>
                <w:sz w:val="18"/>
                <w:szCs w:val="18"/>
              </w:rPr>
              <w:t xml:space="preserve">RULE  </w:t>
            </w:r>
            <w:r>
              <w:rPr>
                <w:rFonts w:ascii="Public Sans" w:cs="Public Sans" w:eastAsia="Public Sans" w:hAnsi="Public Sans"/>
                <w:color w:val="212121"/>
                <w:sz w:val="20"/>
                <w:szCs w:val="20"/>
              </w:rPr>
              <w:t xml:space="preserve">Layer 3 is optional. Remove ANTHROPIC_API_KEY and Layers 1 and 2 continue running without any code change. The system degrades safely.</w:t>
            </w:r>
          </w:p>
        </w:tc>
      </w:tr>
    </w:tbl>
    <w:p>
      <w:pPr>
        <w:spacing w:after="240" w:before="0"/>
      </w:pPr>
      <w:r>
        <w:t xml:space="preserve"/>
      </w:r>
    </w:p>
    <w:p>
      <w:pPr>
        <w:pStyle w:val="Heading2"/>
        <w:spacing w:after="160" w:before="360"/>
      </w:pPr>
      <w:r>
        <w:rPr>
          <w:rFonts w:ascii="Public Sans" w:cs="Public Sans" w:eastAsia="Public Sans" w:hAnsi="Public Sans"/>
          <w:b/>
          <w:bCs/>
          <w:color w:val="203229"/>
          <w:sz w:val="28"/>
          <w:szCs w:val="28"/>
        </w:rPr>
        <w:t xml:space="preserve">2.4 The Engine</w:t>
      </w:r>
    </w:p>
    <w:p>
      <w:pPr>
        <w:spacing w:after="160" w:before="0"/>
        <w:jc w:val="left"/>
      </w:pPr>
      <w:r>
        <w:rPr>
          <w:rFonts w:ascii="Public Sans" w:cs="Public Sans" w:eastAsia="Public Sans" w:hAnsi="Public Sans"/>
          <w:b w:val="false"/>
          <w:bCs w:val="false"/>
          <w:i w:val="false"/>
          <w:iCs w:val="false"/>
          <w:color w:val="212121"/>
          <w:sz w:val="22"/>
          <w:szCs w:val="22"/>
        </w:rPr>
        <w:t xml:space="preserve">The engine (engine.ts) is the single interface for all standardization work. Callers import standardizeName() for real-time connection creation checks, or batchStandardize() for post-pilot research. The engine coordinates all three layers, deduplicates candidates, and returns a typed StandardizationResult.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E4" w:sz="2"/>
              <w:left w:val="single" w:color="203229" w:sz="12"/>
              <w:bottom w:val="single" w:color="E2E8E4" w:sz="2"/>
              <w:right w:val="single" w:color="E2E8E4" w:sz="2"/>
            </w:tcBorders>
            <w:shd w:fill="F0FDF4" w:val="clear"/>
            <w:tcMar>
              <w:top w:type="dxa" w:w="100"/>
              <w:left w:type="dxa" w:w="180"/>
              <w:bottom w:type="dxa" w:w="100"/>
              <w:right w:type="dxa" w:w="180"/>
            </w:tcMar>
          </w:tcPr>
          <w:p>
            <w:pPr>
              <w:spacing w:after="0" w:before="0"/>
            </w:pPr>
            <w:r>
              <w:rPr>
                <w:rFonts w:ascii="Public Sans" w:cs="Public Sans" w:eastAsia="Public Sans" w:hAnsi="Public Sans"/>
                <w:b/>
                <w:bCs/>
                <w:color w:val="166534"/>
                <w:sz w:val="18"/>
                <w:szCs w:val="18"/>
              </w:rPr>
              <w:t xml:space="preserve">RULE  </w:t>
            </w:r>
            <w:r>
              <w:rPr>
                <w:rFonts w:ascii="Public Sans" w:cs="Public Sans" w:eastAsia="Public Sans" w:hAnsi="Public Sans"/>
                <w:color w:val="212121"/>
                <w:sz w:val="20"/>
                <w:szCs w:val="20"/>
              </w:rPr>
              <w:t xml:space="preserve">The engine surfaces candidates. It never merges connections. Merging requires explicit user action via DuplicateWarningBanner and the merge API route. This mirrors the two-call draft approval gate from the AI layer.</w:t>
            </w:r>
          </w:p>
        </w:tc>
      </w:tr>
    </w:tbl>
    <w:p>
      <w:pPr>
        <w:spacing w:after="240" w:before="0"/>
      </w:pPr>
      <w:r>
        <w:t xml:space="preserve"/>
      </w:r>
    </w:p>
    <w:p>
      <w:pPr>
        <w:pBdr>
          <w:bottom w:val="single" w:color="E2E8E4" w:sz="2" w:space="1"/>
        </w:pBdr>
        <w:spacing w:after="240" w:before="120"/>
      </w:pPr>
      <w:r>
        <w:t xml:space="preserve"/>
      </w:r>
    </w:p>
    <w:p>
      <w:r>
        <w:br w:type="page"/>
      </w:r>
    </w:p>
    <w:p>
      <w:pPr>
        <w:pStyle w:val="Heading1"/>
        <w:pBdr>
          <w:bottom w:val="single" w:color="B1FA63" w:sz="6" w:space="4"/>
        </w:pBdr>
        <w:spacing w:after="200" w:before="480"/>
      </w:pPr>
      <w:r>
        <w:rPr>
          <w:rFonts w:ascii="Public Sans" w:cs="Public Sans" w:eastAsia="Public Sans" w:hAnsi="Public Sans"/>
          <w:b/>
          <w:bCs/>
          <w:color w:val="203229"/>
          <w:sz w:val="36"/>
          <w:szCs w:val="36"/>
        </w:rPr>
        <w:t xml:space="preserve">3. Implementation Files</w:t>
      </w:r>
    </w:p>
    <w:p>
      <w:pPr>
        <w:spacing w:after="200" w:before="0"/>
        <w:jc w:val="left"/>
      </w:pPr>
      <w:r>
        <w:rPr>
          <w:rFonts w:ascii="Public Sans" w:cs="Public Sans" w:eastAsia="Public Sans" w:hAnsi="Public Sans"/>
          <w:b w:val="false"/>
          <w:bCs w:val="false"/>
          <w:i w:val="false"/>
          <w:iCs w:val="false"/>
          <w:color w:val="212121"/>
          <w:sz w:val="22"/>
          <w:szCs w:val="22"/>
        </w:rPr>
        <w:t xml:space="preserve">Nine files implement the full system. The table below maps each file to its layer and its location in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E2E8E4" w:sz="2"/>
              <w:left w:val="single" w:color="E2E8E4" w:sz="2"/>
              <w:bottom w:val="single" w:color="E2E8E4" w:sz="2"/>
              <w:right w:val="single" w:color="E2E8E4" w:sz="2"/>
            </w:tcBorders>
            <w:shd w:fill="203229" w:val="clear"/>
            <w:tcMar>
              <w:top w:type="dxa" w:w="100"/>
              <w:left w:type="dxa" w:w="120"/>
              <w:bottom w:type="dxa" w:w="100"/>
              <w:right w:type="dxa" w:w="120"/>
            </w:tcMar>
          </w:tcPr>
          <w:p>
            <w:r>
              <w:rPr>
                <w:rFonts w:ascii="Public Sans" w:cs="Public Sans" w:eastAsia="Public Sans" w:hAnsi="Public Sans"/>
                <w:b/>
                <w:bCs/>
                <w:color w:val="FFFFFF"/>
                <w:sz w:val="20"/>
                <w:szCs w:val="20"/>
              </w:rPr>
              <w:t xml:space="preserve">File</w:t>
            </w:r>
          </w:p>
        </w:tc>
        <w:tc>
          <w:tcPr>
            <w:tcW w:type="dxa" w:w="2160"/>
            <w:tcBorders>
              <w:top w:val="single" w:color="E2E8E4" w:sz="2"/>
              <w:left w:val="single" w:color="E2E8E4" w:sz="2"/>
              <w:bottom w:val="single" w:color="E2E8E4" w:sz="2"/>
              <w:right w:val="single" w:color="E2E8E4" w:sz="2"/>
            </w:tcBorders>
            <w:shd w:fill="203229" w:val="clear"/>
            <w:tcMar>
              <w:top w:type="dxa" w:w="100"/>
              <w:left w:type="dxa" w:w="120"/>
              <w:bottom w:type="dxa" w:w="100"/>
              <w:right w:type="dxa" w:w="120"/>
            </w:tcMar>
          </w:tcPr>
          <w:p>
            <w:r>
              <w:rPr>
                <w:rFonts w:ascii="Public Sans" w:cs="Public Sans" w:eastAsia="Public Sans" w:hAnsi="Public Sans"/>
                <w:b/>
                <w:bCs/>
                <w:color w:val="FFFFFF"/>
                <w:sz w:val="20"/>
                <w:szCs w:val="20"/>
              </w:rPr>
              <w:t xml:space="preserve">Layer</w:t>
            </w:r>
          </w:p>
        </w:tc>
        <w:tc>
          <w:tcPr>
            <w:tcW w:type="dxa" w:w="3600"/>
            <w:tcBorders>
              <w:top w:val="single" w:color="E2E8E4" w:sz="2"/>
              <w:left w:val="single" w:color="E2E8E4" w:sz="2"/>
              <w:bottom w:val="single" w:color="E2E8E4" w:sz="2"/>
              <w:right w:val="single" w:color="E2E8E4" w:sz="2"/>
            </w:tcBorders>
            <w:shd w:fill="203229" w:val="clear"/>
            <w:tcMar>
              <w:top w:type="dxa" w:w="100"/>
              <w:left w:type="dxa" w:w="120"/>
              <w:bottom w:type="dxa" w:w="100"/>
              <w:right w:type="dxa" w:w="120"/>
            </w:tcMar>
          </w:tcPr>
          <w:p>
            <w:r>
              <w:rPr>
                <w:rFonts w:ascii="Public Sans" w:cs="Public Sans" w:eastAsia="Public Sans" w:hAnsi="Public Sans"/>
                <w:b/>
                <w:bCs/>
                <w:color w:val="FFFFFF"/>
                <w:sz w:val="20"/>
                <w:szCs w:val="20"/>
              </w:rPr>
              <w:t xml:space="preserve">Location in codebase</w:t>
            </w:r>
          </w:p>
        </w:tc>
      </w:tr>
      <w:tr>
        <w:trPr>
          <w:tblHeader w:val="false"/>
        </w:trPr>
        <w:tc>
          <w:tcPr>
            <w:tcW w:type="dxa" w:w="36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Courier New" w:cs="Courier New" w:eastAsia="Courier New" w:hAnsi="Courier New"/>
                <w:color w:val="203229"/>
                <w:sz w:val="18"/>
                <w:szCs w:val="18"/>
              </w:rPr>
              <w:t xml:space="preserve">types.ts</w:t>
            </w:r>
          </w:p>
        </w:tc>
        <w:tc>
          <w:tcPr>
            <w:tcW w:type="dxa" w:w="216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All</w:t>
            </w:r>
          </w:p>
        </w:tc>
        <w:tc>
          <w:tcPr>
            <w:tcW w:type="dxa" w:w="36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Courier New" w:cs="Courier New" w:eastAsia="Courier New" w:hAnsi="Courier New"/>
                <w:color w:val="203229"/>
                <w:sz w:val="18"/>
                <w:szCs w:val="18"/>
              </w:rPr>
              <w:t xml:space="preserve">lib/standardization/types.ts</w:t>
            </w:r>
          </w:p>
        </w:tc>
      </w:tr>
      <w:tr>
        <w:trPr>
          <w:tblHeader w:val="false"/>
        </w:trPr>
        <w:tc>
          <w:tcPr>
            <w:tcW w:type="dxa" w:w="360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Courier New" w:cs="Courier New" w:eastAsia="Courier New" w:hAnsi="Courier New"/>
                <w:color w:val="203229"/>
                <w:sz w:val="18"/>
                <w:szCs w:val="18"/>
              </w:rPr>
              <w:t xml:space="preserve">layer1-normalize.ts</w:t>
            </w:r>
          </w:p>
        </w:tc>
        <w:tc>
          <w:tcPr>
            <w:tcW w:type="dxa" w:w="216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Public Sans" w:cs="Public Sans" w:eastAsia="Public Sans" w:hAnsi="Public Sans"/>
                <w:color w:val="212121"/>
                <w:sz w:val="20"/>
                <w:szCs w:val="20"/>
              </w:rPr>
              <w:t xml:space="preserve">Layer 1</w:t>
            </w:r>
          </w:p>
        </w:tc>
        <w:tc>
          <w:tcPr>
            <w:tcW w:type="dxa" w:w="360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Courier New" w:cs="Courier New" w:eastAsia="Courier New" w:hAnsi="Courier New"/>
                <w:color w:val="203229"/>
                <w:sz w:val="18"/>
                <w:szCs w:val="18"/>
              </w:rPr>
              <w:t xml:space="preserve">lib/standardization/layer1-normalize.ts</w:t>
            </w:r>
          </w:p>
        </w:tc>
      </w:tr>
      <w:tr>
        <w:trPr>
          <w:tblHeader w:val="false"/>
        </w:trPr>
        <w:tc>
          <w:tcPr>
            <w:tcW w:type="dxa" w:w="36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Courier New" w:cs="Courier New" w:eastAsia="Courier New" w:hAnsi="Courier New"/>
                <w:color w:val="203229"/>
                <w:sz w:val="18"/>
                <w:szCs w:val="18"/>
              </w:rPr>
              <w:t xml:space="preserve">layer2-fuzzy.ts</w:t>
            </w:r>
          </w:p>
        </w:tc>
        <w:tc>
          <w:tcPr>
            <w:tcW w:type="dxa" w:w="216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Layer 2</w:t>
            </w:r>
          </w:p>
        </w:tc>
        <w:tc>
          <w:tcPr>
            <w:tcW w:type="dxa" w:w="36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Courier New" w:cs="Courier New" w:eastAsia="Courier New" w:hAnsi="Courier New"/>
                <w:color w:val="203229"/>
                <w:sz w:val="18"/>
                <w:szCs w:val="18"/>
              </w:rPr>
              <w:t xml:space="preserve">lib/standardization/layer2-fuzzy.ts</w:t>
            </w:r>
          </w:p>
        </w:tc>
      </w:tr>
      <w:tr>
        <w:trPr>
          <w:tblHeader w:val="false"/>
        </w:trPr>
        <w:tc>
          <w:tcPr>
            <w:tcW w:type="dxa" w:w="360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Courier New" w:cs="Courier New" w:eastAsia="Courier New" w:hAnsi="Courier New"/>
                <w:color w:val="203229"/>
                <w:sz w:val="18"/>
                <w:szCs w:val="18"/>
              </w:rPr>
              <w:t xml:space="preserve">layer3-ai.ts</w:t>
            </w:r>
          </w:p>
        </w:tc>
        <w:tc>
          <w:tcPr>
            <w:tcW w:type="dxa" w:w="216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Public Sans" w:cs="Public Sans" w:eastAsia="Public Sans" w:hAnsi="Public Sans"/>
                <w:color w:val="212121"/>
                <w:sz w:val="20"/>
                <w:szCs w:val="20"/>
              </w:rPr>
              <w:t xml:space="preserve">Layer 3</w:t>
            </w:r>
          </w:p>
        </w:tc>
        <w:tc>
          <w:tcPr>
            <w:tcW w:type="dxa" w:w="360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Courier New" w:cs="Courier New" w:eastAsia="Courier New" w:hAnsi="Courier New"/>
                <w:color w:val="203229"/>
                <w:sz w:val="18"/>
                <w:szCs w:val="18"/>
              </w:rPr>
              <w:t xml:space="preserve">lib/standardization/layer3-ai.ts</w:t>
            </w:r>
          </w:p>
        </w:tc>
      </w:tr>
      <w:tr>
        <w:trPr>
          <w:tblHeader w:val="false"/>
        </w:trPr>
        <w:tc>
          <w:tcPr>
            <w:tcW w:type="dxa" w:w="36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Courier New" w:cs="Courier New" w:eastAsia="Courier New" w:hAnsi="Courier New"/>
                <w:color w:val="203229"/>
                <w:sz w:val="18"/>
                <w:szCs w:val="18"/>
              </w:rPr>
              <w:t xml:space="preserve">engine.ts</w:t>
            </w:r>
          </w:p>
        </w:tc>
        <w:tc>
          <w:tcPr>
            <w:tcW w:type="dxa" w:w="216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Orchestrator</w:t>
            </w:r>
          </w:p>
        </w:tc>
        <w:tc>
          <w:tcPr>
            <w:tcW w:type="dxa" w:w="36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Courier New" w:cs="Courier New" w:eastAsia="Courier New" w:hAnsi="Courier New"/>
                <w:color w:val="203229"/>
                <w:sz w:val="18"/>
                <w:szCs w:val="18"/>
              </w:rPr>
              <w:t xml:space="preserve">lib/standardization/engine.ts</w:t>
            </w:r>
          </w:p>
        </w:tc>
      </w:tr>
      <w:tr>
        <w:trPr>
          <w:tblHeader w:val="false"/>
        </w:trPr>
        <w:tc>
          <w:tcPr>
            <w:tcW w:type="dxa" w:w="360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Courier New" w:cs="Courier New" w:eastAsia="Courier New" w:hAnsi="Courier New"/>
                <w:color w:val="203229"/>
                <w:sz w:val="18"/>
                <w:szCs w:val="18"/>
              </w:rPr>
              <w:t xml:space="preserve">standardize/route.ts</w:t>
            </w:r>
          </w:p>
        </w:tc>
        <w:tc>
          <w:tcPr>
            <w:tcW w:type="dxa" w:w="216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Public Sans" w:cs="Public Sans" w:eastAsia="Public Sans" w:hAnsi="Public Sans"/>
                <w:color w:val="212121"/>
                <w:sz w:val="20"/>
                <w:szCs w:val="20"/>
              </w:rPr>
              <w:t xml:space="preserve">API</w:t>
            </w:r>
          </w:p>
        </w:tc>
        <w:tc>
          <w:tcPr>
            <w:tcW w:type="dxa" w:w="360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Courier New" w:cs="Courier New" w:eastAsia="Courier New" w:hAnsi="Courier New"/>
                <w:color w:val="203229"/>
                <w:sz w:val="18"/>
                <w:szCs w:val="18"/>
              </w:rPr>
              <w:t xml:space="preserve">app/api/connections/standardize/route.ts</w:t>
            </w:r>
          </w:p>
        </w:tc>
      </w:tr>
      <w:tr>
        <w:trPr>
          <w:tblHeader w:val="false"/>
        </w:trPr>
        <w:tc>
          <w:tcPr>
            <w:tcW w:type="dxa" w:w="36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Courier New" w:cs="Courier New" w:eastAsia="Courier New" w:hAnsi="Courier New"/>
                <w:color w:val="203229"/>
                <w:sz w:val="18"/>
                <w:szCs w:val="18"/>
              </w:rPr>
              <w:t xml:space="preserve">merge/route.ts</w:t>
            </w:r>
          </w:p>
        </w:tc>
        <w:tc>
          <w:tcPr>
            <w:tcW w:type="dxa" w:w="216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API</w:t>
            </w:r>
          </w:p>
        </w:tc>
        <w:tc>
          <w:tcPr>
            <w:tcW w:type="dxa" w:w="36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Courier New" w:cs="Courier New" w:eastAsia="Courier New" w:hAnsi="Courier New"/>
                <w:color w:val="203229"/>
                <w:sz w:val="18"/>
                <w:szCs w:val="18"/>
              </w:rPr>
              <w:t xml:space="preserve">app/api/connections/merge/route.ts</w:t>
            </w:r>
          </w:p>
        </w:tc>
      </w:tr>
      <w:tr>
        <w:trPr>
          <w:tblHeader w:val="false"/>
        </w:trPr>
        <w:tc>
          <w:tcPr>
            <w:tcW w:type="dxa" w:w="360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Courier New" w:cs="Courier New" w:eastAsia="Courier New" w:hAnsi="Courier New"/>
                <w:color w:val="203229"/>
                <w:sz w:val="18"/>
                <w:szCs w:val="18"/>
              </w:rPr>
              <w:t xml:space="preserve">DuplicateWarningBanner.tsx</w:t>
            </w:r>
          </w:p>
        </w:tc>
        <w:tc>
          <w:tcPr>
            <w:tcW w:type="dxa" w:w="216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Public Sans" w:cs="Public Sans" w:eastAsia="Public Sans" w:hAnsi="Public Sans"/>
                <w:color w:val="212121"/>
                <w:sz w:val="20"/>
                <w:szCs w:val="20"/>
              </w:rPr>
              <w:t xml:space="preserve">UI</w:t>
            </w:r>
          </w:p>
        </w:tc>
        <w:tc>
          <w:tcPr>
            <w:tcW w:type="dxa" w:w="360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Courier New" w:cs="Courier New" w:eastAsia="Courier New" w:hAnsi="Courier New"/>
                <w:color w:val="203229"/>
                <w:sz w:val="18"/>
                <w:szCs w:val="18"/>
              </w:rPr>
              <w:t xml:space="preserve">components/DuplicateWarningBanner.tsx</w:t>
            </w:r>
          </w:p>
        </w:tc>
      </w:tr>
      <w:tr>
        <w:trPr>
          <w:tblHeader w:val="false"/>
        </w:trPr>
        <w:tc>
          <w:tcPr>
            <w:tcW w:type="dxa" w:w="36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Courier New" w:cs="Courier New" w:eastAsia="Courier New" w:hAnsi="Courier New"/>
                <w:color w:val="203229"/>
                <w:sz w:val="18"/>
                <w:szCs w:val="18"/>
              </w:rPr>
              <w:t xml:space="preserve">migration_standardization.sql</w:t>
            </w:r>
          </w:p>
        </w:tc>
        <w:tc>
          <w:tcPr>
            <w:tcW w:type="dxa" w:w="216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DB</w:t>
            </w:r>
          </w:p>
        </w:tc>
        <w:tc>
          <w:tcPr>
            <w:tcW w:type="dxa" w:w="36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Courier New" w:cs="Courier New" w:eastAsia="Courier New" w:hAnsi="Courier New"/>
                <w:color w:val="203229"/>
                <w:sz w:val="18"/>
                <w:szCs w:val="18"/>
              </w:rPr>
              <w:t xml:space="preserve">Run in Supabase SQL Editor</w:t>
            </w:r>
          </w:p>
        </w:tc>
      </w:tr>
    </w:tbl>
    <w:p>
      <w:pPr>
        <w:spacing w:after="400" w:before="0"/>
      </w:pPr>
      <w:r>
        <w:t xml:space="preserve"/>
      </w:r>
    </w:p>
    <w:p>
      <w:pPr>
        <w:pStyle w:val="Heading2"/>
        <w:spacing w:after="160" w:before="360"/>
      </w:pPr>
      <w:r>
        <w:rPr>
          <w:rFonts w:ascii="Public Sans" w:cs="Public Sans" w:eastAsia="Public Sans" w:hAnsi="Public Sans"/>
          <w:b/>
          <w:bCs/>
          <w:color w:val="203229"/>
          <w:sz w:val="28"/>
          <w:szCs w:val="28"/>
        </w:rPr>
        <w:t xml:space="preserve">3.1 types.ts</w:t>
      </w:r>
    </w:p>
    <w:p>
      <w:pPr>
        <w:spacing w:after="160" w:before="0"/>
        <w:jc w:val="left"/>
      </w:pPr>
      <w:r>
        <w:rPr>
          <w:rFonts w:ascii="Public Sans" w:cs="Public Sans" w:eastAsia="Public Sans" w:hAnsi="Public Sans"/>
          <w:b w:val="false"/>
          <w:bCs w:val="false"/>
          <w:i w:val="false"/>
          <w:iCs w:val="false"/>
          <w:color w:val="212121"/>
          <w:sz w:val="22"/>
          <w:szCs w:val="22"/>
        </w:rPr>
        <w:t xml:space="preserve">Defines all shared TypeScript types used across the system. Key types include RawConnection (the input shape from Supabase), DuplicateCandidate (a single match with similarity score, layer, and confidence), EntityGroup (an AI-resolved group of equivalent entities), and StandardizationConfig (runtime configuration with DEFAULT_CONFIG). All layers import from this file.</w:t>
      </w:r>
    </w:p>
    <w:p>
      <w:pPr>
        <w:pStyle w:val="Heading2"/>
        <w:spacing w:after="160" w:before="360"/>
      </w:pPr>
      <w:r>
        <w:rPr>
          <w:rFonts w:ascii="Public Sans" w:cs="Public Sans" w:eastAsia="Public Sans" w:hAnsi="Public Sans"/>
          <w:b/>
          <w:bCs/>
          <w:color w:val="203229"/>
          <w:sz w:val="28"/>
          <w:szCs w:val="28"/>
        </w:rPr>
        <w:t xml:space="preserve">3.2 layer1-normalize.ts</w:t>
      </w:r>
    </w:p>
    <w:p>
      <w:pPr>
        <w:spacing w:after="160" w:before="0"/>
        <w:jc w:val="left"/>
      </w:pPr>
      <w:r>
        <w:rPr>
          <w:rFonts w:ascii="Public Sans" w:cs="Public Sans" w:eastAsia="Public Sans" w:hAnsi="Public Sans"/>
          <w:b w:val="false"/>
          <w:bCs w:val="false"/>
          <w:i w:val="false"/>
          <w:iCs w:val="false"/>
          <w:color w:val="212121"/>
          <w:sz w:val="22"/>
          <w:szCs w:val="22"/>
        </w:rPr>
        <w:t xml:space="preserve">Pure functions with zero dependencies. Exports normalizeName(), normalizeForComparison(), normalizeTags(), and runLayer1(). The file also contains the Supabase SQL trigger as a comment block for easy copying into the SQL Editor. The TypeScript and SQL logic must stay in sync.</w:t>
      </w:r>
    </w:p>
    <w:p>
      <w:pPr>
        <w:pStyle w:val="Heading2"/>
        <w:spacing w:after="160" w:before="360"/>
      </w:pPr>
      <w:r>
        <w:rPr>
          <w:rFonts w:ascii="Public Sans" w:cs="Public Sans" w:eastAsia="Public Sans" w:hAnsi="Public Sans"/>
          <w:b/>
          <w:bCs/>
          <w:color w:val="203229"/>
          <w:sz w:val="28"/>
          <w:szCs w:val="28"/>
        </w:rPr>
        <w:t xml:space="preserve">3.3 layer2-fuzzy.ts</w:t>
      </w:r>
    </w:p>
    <w:p>
      <w:pPr>
        <w:spacing w:after="160" w:before="0"/>
        <w:jc w:val="left"/>
      </w:pPr>
      <w:r>
        <w:rPr>
          <w:rFonts w:ascii="Public Sans" w:cs="Public Sans" w:eastAsia="Public Sans" w:hAnsi="Public Sans"/>
          <w:b w:val="false"/>
          <w:bCs w:val="false"/>
          <w:i w:val="false"/>
          <w:iCs w:val="false"/>
          <w:color w:val="212121"/>
          <w:sz w:val="22"/>
          <w:szCs w:val="22"/>
        </w:rPr>
        <w:t xml:space="preserve">Implements all three similarity algorithms (Jaro-Winkler, Token Sort, Levenshtein) from scratch with no external dependencies. The main export findFuzzyCandidates() takes an incoming name and the owner's existing connections and returns scored candidates above the threshold. Also exports findDuplicateTags() for tag deduplication.</w:t>
      </w:r>
    </w:p>
    <w:p>
      <w:pPr>
        <w:pStyle w:val="Heading2"/>
        <w:spacing w:after="160" w:before="360"/>
      </w:pPr>
      <w:r>
        <w:rPr>
          <w:rFonts w:ascii="Public Sans" w:cs="Public Sans" w:eastAsia="Public Sans" w:hAnsi="Public Sans"/>
          <w:b/>
          <w:bCs/>
          <w:color w:val="203229"/>
          <w:sz w:val="28"/>
          <w:szCs w:val="28"/>
        </w:rPr>
        <w:t xml:space="preserve">3.4 layer3-ai.ts</w:t>
      </w:r>
    </w:p>
    <w:p>
      <w:pPr>
        <w:spacing w:after="160" w:before="0"/>
        <w:jc w:val="left"/>
      </w:pPr>
      <w:r>
        <w:rPr>
          <w:rFonts w:ascii="Public Sans" w:cs="Public Sans" w:eastAsia="Public Sans" w:hAnsi="Public Sans"/>
          <w:b w:val="false"/>
          <w:bCs w:val="false"/>
          <w:i w:val="false"/>
          <w:iCs w:val="false"/>
          <w:color w:val="212121"/>
          <w:sz w:val="22"/>
          <w:szCs w:val="22"/>
        </w:rPr>
        <w:t xml:space="preserve">All functions check isAIAvailable() before instantiating the Anthropic client. If the API key is absent, all functions return empty results without throwing. Key exports: resolveEntityGroups() for batch name resolution, resolveTagGroups() for tag synonym detection, confirmDuplicatePair() for real-time pair confirmation. All Claude calls use the model from process.env.CLAUDE_DRAFT_MODEL, defaulting to claude-haiku-4-5-20251001.</w:t>
      </w:r>
    </w:p>
    <w:p>
      <w:pPr>
        <w:pStyle w:val="Heading2"/>
        <w:spacing w:after="160" w:before="360"/>
      </w:pPr>
      <w:r>
        <w:rPr>
          <w:rFonts w:ascii="Public Sans" w:cs="Public Sans" w:eastAsia="Public Sans" w:hAnsi="Public Sans"/>
          <w:b/>
          <w:bCs/>
          <w:color w:val="203229"/>
          <w:sz w:val="28"/>
          <w:szCs w:val="28"/>
        </w:rPr>
        <w:t xml:space="preserve">3.5 engine.ts</w:t>
      </w:r>
    </w:p>
    <w:p>
      <w:pPr>
        <w:spacing w:after="160" w:before="0"/>
        <w:jc w:val="left"/>
      </w:pPr>
      <w:r>
        <w:rPr>
          <w:rFonts w:ascii="Public Sans" w:cs="Public Sans" w:eastAsia="Public Sans" w:hAnsi="Public Sans"/>
          <w:b w:val="false"/>
          <w:bCs w:val="false"/>
          <w:i w:val="false"/>
          <w:iCs w:val="false"/>
          <w:color w:val="212121"/>
          <w:sz w:val="22"/>
          <w:szCs w:val="22"/>
        </w:rPr>
        <w:t xml:space="preserve">Orchestrates all three layers. standardizeName() is the real-time entry point called on connection creation. batchStandardize() is the research entry point called post-pilot by Nelson's Arrow export pipeline. standardizeTags() cleans a user's full tag collection. The engine deduplicates across layers so the same connection_id is never returned twice.</w:t>
      </w:r>
    </w:p>
    <w:p>
      <w:pPr>
        <w:pStyle w:val="Heading2"/>
        <w:spacing w:after="160" w:before="360"/>
      </w:pPr>
      <w:r>
        <w:rPr>
          <w:rFonts w:ascii="Public Sans" w:cs="Public Sans" w:eastAsia="Public Sans" w:hAnsi="Public Sans"/>
          <w:b/>
          <w:bCs/>
          <w:color w:val="203229"/>
          <w:sz w:val="28"/>
          <w:szCs w:val="28"/>
        </w:rPr>
        <w:t xml:space="preserve">3.6 API Routes</w:t>
      </w:r>
    </w:p>
    <w:p>
      <w:pPr>
        <w:spacing w:after="160" w:before="0"/>
        <w:jc w:val="left"/>
      </w:pPr>
      <w:r>
        <w:rPr>
          <w:rFonts w:ascii="Public Sans" w:cs="Public Sans" w:eastAsia="Public Sans" w:hAnsi="Public Sans"/>
          <w:b w:val="false"/>
          <w:bCs w:val="false"/>
          <w:i w:val="false"/>
          <w:iCs w:val="false"/>
          <w:color w:val="212121"/>
          <w:sz w:val="22"/>
          <w:szCs w:val="22"/>
        </w:rPr>
        <w:t xml:space="preserve">Two routes. POST /api/connections/standardize is the check endpoint — it reads existing connections and returns StandardizationResult with no DB writes. PATCH /api/connections/merge is the action endpoint — it moves history from source to target, archives the source, updates the canonical display_name, and logs the merge in connection_history. Both routes verify owner_id before any operation.</w:t>
      </w:r>
    </w:p>
    <w:p>
      <w:pPr>
        <w:pStyle w:val="Heading2"/>
        <w:spacing w:after="160" w:before="360"/>
      </w:pPr>
      <w:r>
        <w:rPr>
          <w:rFonts w:ascii="Public Sans" w:cs="Public Sans" w:eastAsia="Public Sans" w:hAnsi="Public Sans"/>
          <w:b/>
          <w:bCs/>
          <w:color w:val="203229"/>
          <w:sz w:val="28"/>
          <w:szCs w:val="28"/>
        </w:rPr>
        <w:t xml:space="preserve">3.7 DuplicateWarningBanner.tsx</w:t>
      </w:r>
    </w:p>
    <w:p>
      <w:pPr>
        <w:spacing w:after="160" w:before="0"/>
        <w:jc w:val="left"/>
      </w:pPr>
      <w:r>
        <w:rPr>
          <w:rFonts w:ascii="Public Sans" w:cs="Public Sans" w:eastAsia="Public Sans" w:hAnsi="Public Sans"/>
          <w:b w:val="false"/>
          <w:bCs w:val="false"/>
          <w:i w:val="false"/>
          <w:iCs w:val="false"/>
          <w:color w:val="212121"/>
          <w:sz w:val="22"/>
          <w:szCs w:val="22"/>
        </w:rPr>
        <w:t xml:space="preserve">A client component rendered inside the connection creation form. It displays high and medium confidence candidates as selectable cards. When a user selects a candidate, a name picker appears letting them choose which display_name to keep. The "Yes, merge them" button calls the merge API route. "No, these are different people" dismisses the banner and proceeds with the original connection creation. The banner shows "Checked with AI + fuzzy matching" or "Checked with fuzzy matching" based on AI availability.</w:t>
      </w:r>
    </w:p>
    <w:p>
      <w:pPr>
        <w:pStyle w:val="Heading2"/>
        <w:spacing w:after="160" w:before="360"/>
      </w:pPr>
      <w:r>
        <w:rPr>
          <w:rFonts w:ascii="Public Sans" w:cs="Public Sans" w:eastAsia="Public Sans" w:hAnsi="Public Sans"/>
          <w:b/>
          <w:bCs/>
          <w:color w:val="203229"/>
          <w:sz w:val="28"/>
          <w:szCs w:val="28"/>
        </w:rPr>
        <w:t xml:space="preserve">3.8 migration_standardization.sql</w:t>
      </w:r>
    </w:p>
    <w:p>
      <w:pPr>
        <w:spacing w:after="160" w:before="0"/>
        <w:jc w:val="left"/>
      </w:pPr>
      <w:r>
        <w:rPr>
          <w:rFonts w:ascii="Public Sans" w:cs="Public Sans" w:eastAsia="Public Sans" w:hAnsi="Public Sans"/>
          <w:b w:val="false"/>
          <w:bCs w:val="false"/>
          <w:i w:val="false"/>
          <w:iCs w:val="false"/>
          <w:color w:val="212121"/>
          <w:sz w:val="22"/>
          <w:szCs w:val="22"/>
        </w:rPr>
        <w:t xml:space="preserve">Contains three objects to create in Supabase: the normalize_connection_fields() trigger function, the trigger itself bound to BEFORE INSERT OR UPDATE on the connections table, and two indexes (one on owner_id + display_name, one GIN index on tags). Also contains a commented backfill query to normalize existing records, which should be run once and then removed.</w:t>
      </w:r>
    </w:p>
    <w:p>
      <w:pPr>
        <w:pBdr>
          <w:bottom w:val="single" w:color="E2E8E4" w:sz="2" w:space="1"/>
        </w:pBdr>
        <w:spacing w:after="240" w:before="120"/>
      </w:pPr>
      <w:r>
        <w:t xml:space="preserve"/>
      </w:r>
    </w:p>
    <w:p>
      <w:r>
        <w:br w:type="page"/>
      </w:r>
    </w:p>
    <w:p>
      <w:pPr>
        <w:pStyle w:val="Heading1"/>
        <w:pBdr>
          <w:bottom w:val="single" w:color="B1FA63" w:sz="6" w:space="4"/>
        </w:pBdr>
        <w:spacing w:after="200" w:before="480"/>
      </w:pPr>
      <w:r>
        <w:rPr>
          <w:rFonts w:ascii="Public Sans" w:cs="Public Sans" w:eastAsia="Public Sans" w:hAnsi="Public Sans"/>
          <w:b/>
          <w:bCs/>
          <w:color w:val="203229"/>
          <w:sz w:val="36"/>
          <w:szCs w:val="36"/>
        </w:rPr>
        <w:t xml:space="preserve">4. Request Flow</w:t>
      </w:r>
    </w:p>
    <w:p>
      <w:pPr>
        <w:pStyle w:val="Heading2"/>
        <w:spacing w:after="160" w:before="360"/>
      </w:pPr>
      <w:r>
        <w:rPr>
          <w:rFonts w:ascii="Public Sans" w:cs="Public Sans" w:eastAsia="Public Sans" w:hAnsi="Public Sans"/>
          <w:b/>
          <w:bCs/>
          <w:color w:val="203229"/>
          <w:sz w:val="28"/>
          <w:szCs w:val="28"/>
        </w:rPr>
        <w:t xml:space="preserve">4.1 Real-Time Flow (Connection Creation)</w:t>
      </w:r>
    </w:p>
    <w:p>
      <w:pPr>
        <w:spacing w:after="120" w:before="0"/>
        <w:jc w:val="left"/>
      </w:pPr>
      <w:r>
        <w:rPr>
          <w:rFonts w:ascii="Public Sans" w:cs="Public Sans" w:eastAsia="Public Sans" w:hAnsi="Public Sans"/>
          <w:b w:val="false"/>
          <w:bCs w:val="false"/>
          <w:i w:val="false"/>
          <w:iCs w:val="false"/>
          <w:color w:val="212121"/>
          <w:sz w:val="22"/>
          <w:szCs w:val="22"/>
        </w:rPr>
        <w:t xml:space="preserve">This flow runs every time a user creates a new connection in SODA or Equalpoint.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E4" w:sz="2"/>
              <w:left w:val="single" w:color="E2E8E4" w:sz="2"/>
              <w:bottom w:val="single" w:color="E2E8E4" w:sz="2"/>
              <w:right w:val="single" w:color="E2E8E4" w:sz="2"/>
            </w:tcBorders>
            <w:shd w:fill="1E2D25" w:val="clear"/>
            <w:tcMar>
              <w:top w:type="dxa" w:w="120"/>
              <w:left w:type="dxa" w:w="180"/>
              <w:bottom w:type="dxa" w:w="120"/>
              <w:right w:type="dxa" w:w="180"/>
            </w:tcMar>
          </w:tcPr>
          <w:p>
            <w:pPr>
              <w:spacing w:after="40" w:before="0"/>
            </w:pPr>
            <w:r>
              <w:rPr>
                <w:rFonts w:ascii="Courier New" w:cs="Courier New" w:eastAsia="Courier New" w:hAnsi="Courier New"/>
                <w:color w:val="B1FA63"/>
                <w:sz w:val="18"/>
                <w:szCs w:val="18"/>
              </w:rPr>
              <w:t xml:space="preserve">User types display_name in connection form</w:t>
            </w:r>
          </w:p>
          <w:p>
            <w:pPr>
              <w:spacing w:after="40" w:before="0"/>
            </w:pPr>
            <w:r>
              <w:rPr>
                <w:rFonts w:ascii="Courier New" w:cs="Courier New" w:eastAsia="Courier New" w:hAnsi="Courier New"/>
                <w:color w:val="B1FA63"/>
                <w:sz w:val="18"/>
                <w:szCs w:val="18"/>
              </w:rPr>
              <w:t xml:space="preserve">  → FE calls POST /api/connections/standardize</w:t>
            </w:r>
          </w:p>
          <w:p>
            <w:pPr>
              <w:spacing w:after="40" w:before="0"/>
            </w:pPr>
            <w:r>
              <w:rPr>
                <w:rFonts w:ascii="Courier New" w:cs="Courier New" w:eastAsia="Courier New" w:hAnsi="Courier New"/>
                <w:color w:val="B1FA63"/>
                <w:sz w:val="18"/>
                <w:szCs w:val="18"/>
              </w:rPr>
              <w:t xml:space="preserve">      Layer 1 runs: normalize input + find exact matches</w:t>
            </w:r>
          </w:p>
          <w:p>
            <w:pPr>
              <w:spacing w:after="40" w:before="0"/>
            </w:pPr>
            <w:r>
              <w:rPr>
                <w:rFonts w:ascii="Courier New" w:cs="Courier New" w:eastAsia="Courier New" w:hAnsi="Courier New"/>
                <w:color w:val="B1FA63"/>
                <w:sz w:val="18"/>
                <w:szCs w:val="18"/>
              </w:rPr>
              <w:t xml:space="preserve">      Layer 2 runs: fuzzy match against owner's existing connections</w:t>
            </w:r>
          </w:p>
          <w:p>
            <w:pPr>
              <w:spacing w:after="40" w:before="0"/>
            </w:pPr>
            <w:r>
              <w:rPr>
                <w:rFonts w:ascii="Courier New" w:cs="Courier New" w:eastAsia="Courier New" w:hAnsi="Courier New"/>
                <w:color w:val="B1FA63"/>
                <w:sz w:val="18"/>
                <w:szCs w:val="18"/>
              </w:rPr>
              <w:t xml:space="preserve">      Layer 3 runs: confirm medium-confidence pairs (if AI available)</w:t>
            </w:r>
          </w:p>
          <w:p>
            <w:pPr>
              <w:spacing w:after="40" w:before="0"/>
            </w:pPr>
            <w:r>
              <w:rPr>
                <w:rFonts w:ascii="Courier New" w:cs="Courier New" w:eastAsia="Courier New" w:hAnsi="Courier New"/>
                <w:color w:val="B1FA63"/>
                <w:sz w:val="18"/>
                <w:szCs w:val="18"/>
              </w:rPr>
              <w:t xml:space="preserve">      Returns: StandardizationResult</w:t>
            </w:r>
          </w:p>
          <w:p>
            <w:pPr>
              <w:spacing w:after="40" w:before="0"/>
            </w:pPr>
            <w:r>
              <w:rPr>
                <w:rFonts w:ascii="Courier New" w:cs="Courier New" w:eastAsia="Courier New" w:hAnsi="Courier New"/>
                <w:color w:val="B1FA63"/>
                <w:sz w:val="18"/>
                <w:szCs w:val="18"/>
              </w:rPr>
              <w:t xml:space="preserve"/>
            </w:r>
          </w:p>
          <w:p>
            <w:pPr>
              <w:spacing w:after="40" w:before="0"/>
            </w:pPr>
            <w:r>
              <w:rPr>
                <w:rFonts w:ascii="Courier New" w:cs="Courier New" w:eastAsia="Courier New" w:hAnsi="Courier New"/>
                <w:color w:val="B1FA63"/>
                <w:sz w:val="18"/>
                <w:szCs w:val="18"/>
              </w:rPr>
              <w:t xml:space="preserve">  → If result.duplicates.length &gt; 0:</w:t>
            </w:r>
          </w:p>
          <w:p>
            <w:pPr>
              <w:spacing w:after="40" w:before="0"/>
            </w:pPr>
            <w:r>
              <w:rPr>
                <w:rFonts w:ascii="Courier New" w:cs="Courier New" w:eastAsia="Courier New" w:hAnsi="Courier New"/>
                <w:color w:val="B1FA63"/>
                <w:sz w:val="18"/>
                <w:szCs w:val="18"/>
              </w:rPr>
              <w:t xml:space="preserve">      DuplicateWarningBanner renders</w:t>
            </w:r>
          </w:p>
          <w:p>
            <w:pPr>
              <w:spacing w:after="40" w:before="0"/>
            </w:pPr>
            <w:r>
              <w:rPr>
                <w:rFonts w:ascii="Courier New" w:cs="Courier New" w:eastAsia="Courier New" w:hAnsi="Courier New"/>
                <w:color w:val="B1FA63"/>
                <w:sz w:val="18"/>
                <w:szCs w:val="18"/>
              </w:rPr>
              <w:t xml:space="preserve">      User selects "same person" → PATCH /api/connections/merge</w:t>
            </w:r>
          </w:p>
          <w:p>
            <w:pPr>
              <w:spacing w:after="40" w:before="0"/>
            </w:pPr>
            <w:r>
              <w:rPr>
                <w:rFonts w:ascii="Courier New" w:cs="Courier New" w:eastAsia="Courier New" w:hAnsi="Courier New"/>
                <w:color w:val="B1FA63"/>
                <w:sz w:val="18"/>
                <w:szCs w:val="18"/>
              </w:rPr>
              <w:t xml:space="preserve">      User selects "different person" → POST /api/connections (original flow)</w:t>
            </w:r>
          </w:p>
          <w:p>
            <w:pPr>
              <w:spacing w:after="40" w:before="0"/>
            </w:pPr>
            <w:r>
              <w:rPr>
                <w:rFonts w:ascii="Courier New" w:cs="Courier New" w:eastAsia="Courier New" w:hAnsi="Courier New"/>
                <w:color w:val="B1FA63"/>
                <w:sz w:val="18"/>
                <w:szCs w:val="18"/>
              </w:rPr>
              <w:t xml:space="preserve"/>
            </w:r>
          </w:p>
          <w:p>
            <w:pPr>
              <w:spacing w:after="40" w:before="0"/>
            </w:pPr>
            <w:r>
              <w:rPr>
                <w:rFonts w:ascii="Courier New" w:cs="Courier New" w:eastAsia="Courier New" w:hAnsi="Courier New"/>
                <w:color w:val="B1FA63"/>
                <w:sz w:val="18"/>
                <w:szCs w:val="18"/>
              </w:rPr>
              <w:t xml:space="preserve">  → If result.duplicates.length === 0:</w:t>
            </w:r>
          </w:p>
          <w:p>
            <w:pPr>
              <w:spacing w:after="40" w:before="0"/>
            </w:pPr>
            <w:r>
              <w:rPr>
                <w:rFonts w:ascii="Courier New" w:cs="Courier New" w:eastAsia="Courier New" w:hAnsi="Courier New"/>
                <w:color w:val="B1FA63"/>
                <w:sz w:val="18"/>
                <w:szCs w:val="18"/>
              </w:rPr>
              <w:t xml:space="preserve">      POST /api/connections (original flow, no interruption)</w:t>
            </w:r>
          </w:p>
          <w:p>
            <w:pPr>
              <w:spacing w:after="40" w:before="0"/>
            </w:pPr>
            <w:r>
              <w:rPr>
                <w:rFonts w:ascii="Courier New" w:cs="Courier New" w:eastAsia="Courier New" w:hAnsi="Courier New"/>
                <w:color w:val="B1FA63"/>
                <w:sz w:val="18"/>
                <w:szCs w:val="18"/>
              </w:rPr>
              <w:t xml:space="preserve">      Supabase trigger normalizes display_name on write</w:t>
            </w:r>
          </w:p>
        </w:tc>
      </w:tr>
    </w:tbl>
    <w:p>
      <w:pPr>
        <w:spacing w:after="320" w:before="0"/>
      </w:pPr>
      <w:r>
        <w:t xml:space="preserve"/>
      </w:r>
    </w:p>
    <w:p>
      <w:pPr>
        <w:pStyle w:val="Heading2"/>
        <w:spacing w:after="160" w:before="360"/>
      </w:pPr>
      <w:r>
        <w:rPr>
          <w:rFonts w:ascii="Public Sans" w:cs="Public Sans" w:eastAsia="Public Sans" w:hAnsi="Public Sans"/>
          <w:b/>
          <w:bCs/>
          <w:color w:val="203229"/>
          <w:sz w:val="28"/>
          <w:szCs w:val="28"/>
        </w:rPr>
        <w:t xml:space="preserve">4.2 Batch Flow (Post-Pilot Research)</w:t>
      </w:r>
    </w:p>
    <w:p>
      <w:pPr>
        <w:spacing w:after="120" w:before="0"/>
        <w:jc w:val="left"/>
      </w:pPr>
      <w:r>
        <w:rPr>
          <w:rFonts w:ascii="Public Sans" w:cs="Public Sans" w:eastAsia="Public Sans" w:hAnsi="Public Sans"/>
          <w:b w:val="false"/>
          <w:bCs w:val="false"/>
          <w:i w:val="false"/>
          <w:iCs w:val="false"/>
          <w:color w:val="212121"/>
          <w:sz w:val="22"/>
          <w:szCs w:val="22"/>
        </w:rPr>
        <w:t xml:space="preserve">This flow runs after each pilot event as part of the Arrow export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E4" w:sz="2"/>
              <w:left w:val="single" w:color="E2E8E4" w:sz="2"/>
              <w:bottom w:val="single" w:color="E2E8E4" w:sz="2"/>
              <w:right w:val="single" w:color="E2E8E4" w:sz="2"/>
            </w:tcBorders>
            <w:shd w:fill="1E2D25" w:val="clear"/>
            <w:tcMar>
              <w:top w:type="dxa" w:w="120"/>
              <w:left w:type="dxa" w:w="180"/>
              <w:bottom w:type="dxa" w:w="120"/>
              <w:right w:type="dxa" w:w="180"/>
            </w:tcMar>
          </w:tcPr>
          <w:p>
            <w:pPr>
              <w:spacing w:after="40" w:before="0"/>
            </w:pPr>
            <w:r>
              <w:rPr>
                <w:rFonts w:ascii="Courier New" w:cs="Courier New" w:eastAsia="Courier New" w:hAnsi="Courier New"/>
                <w:color w:val="B1FA63"/>
                <w:sz w:val="18"/>
                <w:szCs w:val="18"/>
              </w:rPr>
              <w:t xml:space="preserve">Nelson runs: python arrow/export.py --pilot 3 --event btw-cincinnati</w:t>
            </w:r>
          </w:p>
          <w:p>
            <w:pPr>
              <w:spacing w:after="40" w:before="0"/>
            </w:pPr>
            <w:r>
              <w:rPr>
                <w:rFonts w:ascii="Courier New" w:cs="Courier New" w:eastAsia="Courier New" w:hAnsi="Courier New"/>
                <w:color w:val="B1FA63"/>
                <w:sz w:val="18"/>
                <w:szCs w:val="18"/>
              </w:rPr>
              <w:t xml:space="preserve">  → Pulls connections + history from Supabase</w:t>
            </w:r>
          </w:p>
          <w:p>
            <w:pPr>
              <w:spacing w:after="40" w:before="0"/>
            </w:pPr>
            <w:r>
              <w:rPr>
                <w:rFonts w:ascii="Courier New" w:cs="Courier New" w:eastAsia="Courier New" w:hAnsi="Courier New"/>
                <w:color w:val="B1FA63"/>
                <w:sz w:val="18"/>
                <w:szCs w:val="18"/>
              </w:rPr>
              <w:t xml:space="preserve">  → Writes Parquet files to ./data/</w:t>
            </w:r>
          </w:p>
          <w:p>
            <w:pPr>
              <w:spacing w:after="40" w:before="0"/>
            </w:pPr>
            <w:r>
              <w:rPr>
                <w:rFonts w:ascii="Courier New" w:cs="Courier New" w:eastAsia="Courier New" w:hAnsi="Courier New"/>
                <w:color w:val="B1FA63"/>
                <w:sz w:val="18"/>
                <w:szCs w:val="18"/>
              </w:rPr>
              <w:t xml:space="preserve"/>
            </w:r>
          </w:p>
          <w:p>
            <w:pPr>
              <w:spacing w:after="40" w:before="0"/>
            </w:pPr>
            <w:r>
              <w:rPr>
                <w:rFonts w:ascii="Courier New" w:cs="Courier New" w:eastAsia="Courier New" w:hAnsi="Courier New"/>
                <w:color w:val="B1FA63"/>
                <w:sz w:val="18"/>
                <w:szCs w:val="18"/>
              </w:rPr>
              <w:t xml:space="preserve">Nelson runs: python arrow/analysis.py --data ./data --pilot 3</w:t>
            </w:r>
          </w:p>
          <w:p>
            <w:pPr>
              <w:spacing w:after="40" w:before="0"/>
            </w:pPr>
            <w:r>
              <w:rPr>
                <w:rFonts w:ascii="Courier New" w:cs="Courier New" w:eastAsia="Courier New" w:hAnsi="Courier New"/>
                <w:color w:val="B1FA63"/>
                <w:sz w:val="18"/>
                <w:szCs w:val="18"/>
              </w:rPr>
              <w:t xml:space="preserve">  → Loads Parquet files</w:t>
            </w:r>
          </w:p>
          <w:p>
            <w:pPr>
              <w:spacing w:after="40" w:before="0"/>
            </w:pPr>
            <w:r>
              <w:rPr>
                <w:rFonts w:ascii="Courier New" w:cs="Courier New" w:eastAsia="Courier New" w:hAnsi="Courier New"/>
                <w:color w:val="B1FA63"/>
                <w:sz w:val="18"/>
                <w:szCs w:val="18"/>
              </w:rPr>
              <w:t xml:space="preserve">  → Calls batchStandardize() via engine.ts</w:t>
            </w:r>
          </w:p>
          <w:p>
            <w:pPr>
              <w:spacing w:after="40" w:before="0"/>
            </w:pPr>
            <w:r>
              <w:rPr>
                <w:rFonts w:ascii="Courier New" w:cs="Courier New" w:eastAsia="Courier New" w:hAnsi="Courier New"/>
                <w:color w:val="B1FA63"/>
                <w:sz w:val="18"/>
                <w:szCs w:val="18"/>
              </w:rPr>
              <w:t xml:space="preserve">      Layer 1: exact duplicate groups</w:t>
            </w:r>
          </w:p>
          <w:p>
            <w:pPr>
              <w:spacing w:after="40" w:before="0"/>
            </w:pPr>
            <w:r>
              <w:rPr>
                <w:rFonts w:ascii="Courier New" w:cs="Courier New" w:eastAsia="Courier New" w:hAnsi="Courier New"/>
                <w:color w:val="B1FA63"/>
                <w:sz w:val="18"/>
                <w:szCs w:val="18"/>
              </w:rPr>
              <w:t xml:space="preserve">      Layer 2: fuzzy duplicate groups</w:t>
            </w:r>
          </w:p>
          <w:p>
            <w:pPr>
              <w:spacing w:after="40" w:before="0"/>
            </w:pPr>
            <w:r>
              <w:rPr>
                <w:rFonts w:ascii="Courier New" w:cs="Courier New" w:eastAsia="Courier New" w:hAnsi="Courier New"/>
                <w:color w:val="B1FA63"/>
                <w:sz w:val="18"/>
                <w:szCs w:val="18"/>
              </w:rPr>
              <w:t xml:space="preserve">      Layer 3: AI entity groups (full batch, 50 names per call)</w:t>
            </w:r>
          </w:p>
          <w:p>
            <w:pPr>
              <w:spacing w:after="40" w:before="0"/>
            </w:pPr>
            <w:r>
              <w:rPr>
                <w:rFonts w:ascii="Courier New" w:cs="Courier New" w:eastAsia="Courier New" w:hAnsi="Courier New"/>
                <w:color w:val="B1FA63"/>
                <w:sz w:val="18"/>
                <w:szCs w:val="18"/>
              </w:rPr>
              <w:t xml:space="preserve">  → Returns BatchStandardizationResult</w:t>
            </w:r>
          </w:p>
          <w:p>
            <w:pPr>
              <w:spacing w:after="40" w:before="0"/>
            </w:pPr>
            <w:r>
              <w:rPr>
                <w:rFonts w:ascii="Courier New" w:cs="Courier New" w:eastAsia="Courier New" w:hAnsi="Courier New"/>
                <w:color w:val="B1FA63"/>
                <w:sz w:val="18"/>
                <w:szCs w:val="18"/>
              </w:rPr>
              <w:t xml:space="preserve">  → Study One analysis runs on clean, deduplicated dataset</w:t>
            </w:r>
          </w:p>
        </w:tc>
      </w:tr>
    </w:tbl>
    <w:p>
      <w:pPr>
        <w:spacing w:after="320" w:before="0"/>
      </w:pPr>
      <w:r>
        <w:t xml:space="preserve"/>
      </w:r>
    </w:p>
    <w:p>
      <w:pPr>
        <w:pBdr>
          <w:bottom w:val="single" w:color="E2E8E4" w:sz="2" w:space="1"/>
        </w:pBdr>
        <w:spacing w:after="240" w:before="120"/>
      </w:pPr>
      <w:r>
        <w:t xml:space="preserve"/>
      </w:r>
    </w:p>
    <w:p>
      <w:pPr>
        <w:pStyle w:val="Heading1"/>
        <w:pBdr>
          <w:bottom w:val="single" w:color="B1FA63" w:sz="6" w:space="4"/>
        </w:pBdr>
        <w:spacing w:after="200" w:before="480"/>
      </w:pPr>
      <w:r>
        <w:rPr>
          <w:rFonts w:ascii="Public Sans" w:cs="Public Sans" w:eastAsia="Public Sans" w:hAnsi="Public Sans"/>
          <w:b/>
          <w:bCs/>
          <w:color w:val="203229"/>
          <w:sz w:val="36"/>
          <w:szCs w:val="36"/>
        </w:rPr>
        <w:t xml:space="preserve">5. Non-Negotiable Rules</w:t>
      </w:r>
    </w:p>
    <w:p>
      <w:pPr>
        <w:spacing w:after="120" w:before="0"/>
        <w:jc w:val="left"/>
      </w:pPr>
      <w:r>
        <w:rPr>
          <w:rFonts w:ascii="Public Sans" w:cs="Public Sans" w:eastAsia="Public Sans" w:hAnsi="Public Sans"/>
          <w:b w:val="false"/>
          <w:bCs w:val="false"/>
          <w:i w:val="false"/>
          <w:iCs w:val="false"/>
          <w:color w:val="212121"/>
          <w:sz w:val="22"/>
          <w:szCs w:val="22"/>
        </w:rPr>
        <w:t xml:space="preserve">All seven rules from the Equalpoint SKILL.md apply to this system. Three have specific implications for entity standardization: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E4" w:sz="2"/>
              <w:left w:val="single" w:color="203229" w:sz="12"/>
              <w:bottom w:val="single" w:color="E2E8E4" w:sz="2"/>
              <w:right w:val="single" w:color="E2E8E4" w:sz="2"/>
            </w:tcBorders>
            <w:shd w:fill="F0FDF4" w:val="clear"/>
            <w:tcMar>
              <w:top w:type="dxa" w:w="100"/>
              <w:left w:type="dxa" w:w="180"/>
              <w:bottom w:type="dxa" w:w="100"/>
              <w:right w:type="dxa" w:w="180"/>
            </w:tcMar>
          </w:tcPr>
          <w:p>
            <w:pPr>
              <w:spacing w:after="0" w:before="0"/>
            </w:pPr>
            <w:r>
              <w:rPr>
                <w:rFonts w:ascii="Public Sans" w:cs="Public Sans" w:eastAsia="Public Sans" w:hAnsi="Public Sans"/>
                <w:b/>
                <w:bCs/>
                <w:color w:val="166534"/>
                <w:sz w:val="18"/>
                <w:szCs w:val="18"/>
              </w:rPr>
              <w:t xml:space="preserve">RULE 2  </w:t>
            </w:r>
            <w:r>
              <w:rPr>
                <w:rFonts w:ascii="Public Sans" w:cs="Public Sans" w:eastAsia="Public Sans" w:hAnsi="Public Sans"/>
                <w:color w:val="212121"/>
                <w:sz w:val="20"/>
                <w:szCs w:val="20"/>
              </w:rPr>
              <w:t xml:space="preserve">RLS on every table. The standardize route reads only connections where owner_id = userId. The merge route verifies ownership of both source and target before any write. No cross-user data access is possible.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E4" w:sz="2"/>
              <w:left w:val="single" w:color="203229" w:sz="12"/>
              <w:bottom w:val="single" w:color="E2E8E4" w:sz="2"/>
              <w:right w:val="single" w:color="E2E8E4" w:sz="2"/>
            </w:tcBorders>
            <w:shd w:fill="F0FDF4" w:val="clear"/>
            <w:tcMar>
              <w:top w:type="dxa" w:w="100"/>
              <w:left w:type="dxa" w:w="180"/>
              <w:bottom w:type="dxa" w:w="100"/>
              <w:right w:type="dxa" w:w="180"/>
            </w:tcMar>
          </w:tcPr>
          <w:p>
            <w:pPr>
              <w:spacing w:after="0" w:before="0"/>
            </w:pPr>
            <w:r>
              <w:rPr>
                <w:rFonts w:ascii="Public Sans" w:cs="Public Sans" w:eastAsia="Public Sans" w:hAnsi="Public Sans"/>
                <w:b/>
                <w:bCs/>
                <w:color w:val="166534"/>
                <w:sz w:val="18"/>
                <w:szCs w:val="18"/>
              </w:rPr>
              <w:t xml:space="preserve">RULE 4  </w:t>
            </w:r>
            <w:r>
              <w:rPr>
                <w:rFonts w:ascii="Public Sans" w:cs="Public Sans" w:eastAsia="Public Sans" w:hAnsi="Public Sans"/>
                <w:color w:val="212121"/>
                <w:sz w:val="20"/>
                <w:szCs w:val="20"/>
              </w:rPr>
              <w:t xml:space="preserve">The approval gate is two calls. POST /api/connections/standardize checks only. PATCH /api/connections/merge acts only. They are never merged. The UI always sits between them.</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E4" w:sz="2"/>
              <w:left w:val="single" w:color="203229" w:sz="12"/>
              <w:bottom w:val="single" w:color="E2E8E4" w:sz="2"/>
              <w:right w:val="single" w:color="E2E8E4" w:sz="2"/>
            </w:tcBorders>
            <w:shd w:fill="F0FDF4" w:val="clear"/>
            <w:tcMar>
              <w:top w:type="dxa" w:w="100"/>
              <w:left w:type="dxa" w:w="180"/>
              <w:bottom w:type="dxa" w:w="100"/>
              <w:right w:type="dxa" w:w="180"/>
            </w:tcMar>
          </w:tcPr>
          <w:p>
            <w:pPr>
              <w:spacing w:after="0" w:before="0"/>
            </w:pPr>
            <w:r>
              <w:rPr>
                <w:rFonts w:ascii="Public Sans" w:cs="Public Sans" w:eastAsia="Public Sans" w:hAnsi="Public Sans"/>
                <w:b/>
                <w:bCs/>
                <w:color w:val="166534"/>
                <w:sz w:val="18"/>
                <w:szCs w:val="18"/>
              </w:rPr>
              <w:t xml:space="preserve">RULE 6  </w:t>
            </w:r>
            <w:r>
              <w:rPr>
                <w:rFonts w:ascii="Public Sans" w:cs="Public Sans" w:eastAsia="Public Sans" w:hAnsi="Public Sans"/>
                <w:color w:val="212121"/>
                <w:sz w:val="20"/>
                <w:szCs w:val="20"/>
              </w:rPr>
              <w:t xml:space="preserve">Secrets via Doppler. ANTHROPIC_API_KEY is never committed. layer3-ai.ts reads from process.env only. If the key is absent the layer silently skips.</w:t>
            </w:r>
          </w:p>
        </w:tc>
      </w:tr>
    </w:tbl>
    <w:p>
      <w:pPr>
        <w:spacing w:after="240" w:before="0"/>
      </w:pPr>
      <w:r>
        <w:t xml:space="preserve"/>
      </w:r>
    </w:p>
    <w:p>
      <w:pPr>
        <w:spacing w:after="80" w:before="0"/>
        <w:jc w:val="left"/>
      </w:pPr>
      <w:r>
        <w:rPr>
          <w:rFonts w:ascii="Public Sans" w:cs="Public Sans" w:eastAsia="Public Sans" w:hAnsi="Public Sans"/>
          <w:b w:val="false"/>
          <w:bCs w:val="false"/>
          <w:i w:val="false"/>
          <w:iCs w:val="false"/>
          <w:color w:val="212121"/>
          <w:sz w:val="22"/>
          <w:szCs w:val="22"/>
        </w:rPr>
        <w:t xml:space="preserve">One additional rule specific to standardization: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E4" w:sz="2"/>
              <w:left w:val="single" w:color="203229" w:sz="12"/>
              <w:bottom w:val="single" w:color="E2E8E4" w:sz="2"/>
              <w:right w:val="single" w:color="E2E8E4" w:sz="2"/>
            </w:tcBorders>
            <w:shd w:fill="FFFBEB" w:val="clear"/>
            <w:tcMar>
              <w:top w:type="dxa" w:w="100"/>
              <w:left w:type="dxa" w:w="180"/>
              <w:bottom w:type="dxa" w:w="100"/>
              <w:right w:type="dxa" w:w="180"/>
            </w:tcMar>
          </w:tcPr>
          <w:p>
            <w:pPr>
              <w:spacing w:after="0" w:before="0"/>
            </w:pPr>
            <w:r>
              <w:rPr>
                <w:rFonts w:ascii="Public Sans" w:cs="Public Sans" w:eastAsia="Public Sans" w:hAnsi="Public Sans"/>
                <w:b/>
                <w:bCs/>
                <w:color w:val="92400E"/>
                <w:sz w:val="18"/>
                <w:szCs w:val="18"/>
              </w:rPr>
              <w:t xml:space="preserve">STANDARDIZATION RULE  </w:t>
            </w:r>
            <w:r>
              <w:rPr>
                <w:rFonts w:ascii="Public Sans" w:cs="Public Sans" w:eastAsia="Public Sans" w:hAnsi="Public Sans"/>
                <w:color w:val="212121"/>
                <w:sz w:val="20"/>
                <w:szCs w:val="20"/>
              </w:rPr>
              <w:t xml:space="preserve">Never auto-merge. The user is always the final decision-maker. DuplicateWarningBanner requires explicit confirmation before calling the merge route. This applies even to high-confidence matches.</w:t>
            </w:r>
          </w:p>
        </w:tc>
      </w:tr>
    </w:tbl>
    <w:p>
      <w:pPr>
        <w:spacing w:after="240" w:before="0"/>
      </w:pPr>
      <w:r>
        <w:t xml:space="preserve"/>
      </w:r>
    </w:p>
    <w:p>
      <w:pPr>
        <w:pBdr>
          <w:bottom w:val="single" w:color="E2E8E4" w:sz="2" w:space="1"/>
        </w:pBdr>
        <w:spacing w:after="240" w:before="120"/>
      </w:pPr>
      <w:r>
        <w:t xml:space="preserve"/>
      </w:r>
    </w:p>
    <w:p>
      <w:r>
        <w:br w:type="page"/>
      </w:r>
    </w:p>
    <w:p>
      <w:pPr>
        <w:pStyle w:val="Heading1"/>
        <w:pBdr>
          <w:bottom w:val="single" w:color="B1FA63" w:sz="6" w:space="4"/>
        </w:pBdr>
        <w:spacing w:after="200" w:before="480"/>
      </w:pPr>
      <w:r>
        <w:rPr>
          <w:rFonts w:ascii="Public Sans" w:cs="Public Sans" w:eastAsia="Public Sans" w:hAnsi="Public Sans"/>
          <w:b/>
          <w:bCs/>
          <w:color w:val="203229"/>
          <w:sz w:val="36"/>
          <w:szCs w:val="36"/>
        </w:rPr>
        <w:t xml:space="preserve">6. Deployment Sequence</w:t>
      </w:r>
    </w:p>
    <w:p>
      <w:pPr>
        <w:spacing w:after="200" w:before="0"/>
        <w:jc w:val="left"/>
      </w:pPr>
      <w:r>
        <w:rPr>
          <w:rFonts w:ascii="Public Sans" w:cs="Public Sans" w:eastAsia="Public Sans" w:hAnsi="Public Sans"/>
          <w:b w:val="false"/>
          <w:bCs w:val="false"/>
          <w:i w:val="false"/>
          <w:iCs w:val="false"/>
          <w:color w:val="212121"/>
          <w:sz w:val="22"/>
          <w:szCs w:val="22"/>
        </w:rPr>
        <w:t xml:space="preserve">Deploy in this exact order. Each step depends on the previous.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E2E8E4" w:sz="2"/>
              <w:left w:val="single" w:color="E2E8E4" w:sz="2"/>
              <w:bottom w:val="single" w:color="E2E8E4" w:sz="2"/>
              <w:right w:val="single" w:color="E2E8E4" w:sz="2"/>
            </w:tcBorders>
            <w:shd w:fill="203229" w:val="clear"/>
            <w:tcMar>
              <w:top w:type="dxa" w:w="100"/>
              <w:left w:type="dxa" w:w="120"/>
              <w:bottom w:type="dxa" w:w="100"/>
              <w:right w:type="dxa" w:w="120"/>
            </w:tcMar>
          </w:tcPr>
          <w:p>
            <w:r>
              <w:rPr>
                <w:rFonts w:ascii="Public Sans" w:cs="Public Sans" w:eastAsia="Public Sans" w:hAnsi="Public Sans"/>
                <w:b/>
                <w:bCs/>
                <w:color w:val="FFFFFF"/>
                <w:sz w:val="20"/>
                <w:szCs w:val="20"/>
              </w:rPr>
              <w:t xml:space="preserve">Step</w:t>
            </w:r>
          </w:p>
        </w:tc>
        <w:tc>
          <w:tcPr>
            <w:tcW w:type="dxa" w:w="2400"/>
            <w:tcBorders>
              <w:top w:val="single" w:color="E2E8E4" w:sz="2"/>
              <w:left w:val="single" w:color="E2E8E4" w:sz="2"/>
              <w:bottom w:val="single" w:color="E2E8E4" w:sz="2"/>
              <w:right w:val="single" w:color="E2E8E4" w:sz="2"/>
            </w:tcBorders>
            <w:shd w:fill="203229" w:val="clear"/>
            <w:tcMar>
              <w:top w:type="dxa" w:w="100"/>
              <w:left w:type="dxa" w:w="120"/>
              <w:bottom w:type="dxa" w:w="100"/>
              <w:right w:type="dxa" w:w="120"/>
            </w:tcMar>
          </w:tcPr>
          <w:p>
            <w:r>
              <w:rPr>
                <w:rFonts w:ascii="Public Sans" w:cs="Public Sans" w:eastAsia="Public Sans" w:hAnsi="Public Sans"/>
                <w:b/>
                <w:bCs/>
                <w:color w:val="FFFFFF"/>
                <w:sz w:val="20"/>
                <w:szCs w:val="20"/>
              </w:rPr>
              <w:t xml:space="preserve">Action</w:t>
            </w:r>
          </w:p>
        </w:tc>
        <w:tc>
          <w:tcPr>
            <w:tcW w:type="dxa" w:w="3360"/>
            <w:tcBorders>
              <w:top w:val="single" w:color="E2E8E4" w:sz="2"/>
              <w:left w:val="single" w:color="E2E8E4" w:sz="2"/>
              <w:bottom w:val="single" w:color="E2E8E4" w:sz="2"/>
              <w:right w:val="single" w:color="E2E8E4" w:sz="2"/>
            </w:tcBorders>
            <w:shd w:fill="203229" w:val="clear"/>
            <w:tcMar>
              <w:top w:type="dxa" w:w="100"/>
              <w:left w:type="dxa" w:w="120"/>
              <w:bottom w:type="dxa" w:w="100"/>
              <w:right w:type="dxa" w:w="120"/>
            </w:tcMar>
          </w:tcPr>
          <w:p>
            <w:r>
              <w:rPr>
                <w:rFonts w:ascii="Public Sans" w:cs="Public Sans" w:eastAsia="Public Sans" w:hAnsi="Public Sans"/>
                <w:b/>
                <w:bCs/>
                <w:color w:val="FFFFFF"/>
                <w:sz w:val="20"/>
                <w:szCs w:val="20"/>
              </w:rPr>
              <w:t xml:space="preserve">What it does</w:t>
            </w:r>
          </w:p>
        </w:tc>
        <w:tc>
          <w:tcPr>
            <w:tcW w:type="dxa" w:w="2400"/>
            <w:tcBorders>
              <w:top w:val="single" w:color="E2E8E4" w:sz="2"/>
              <w:left w:val="single" w:color="E2E8E4" w:sz="2"/>
              <w:bottom w:val="single" w:color="E2E8E4" w:sz="2"/>
              <w:right w:val="single" w:color="E2E8E4" w:sz="2"/>
            </w:tcBorders>
            <w:shd w:fill="203229" w:val="clear"/>
            <w:tcMar>
              <w:top w:type="dxa" w:w="100"/>
              <w:left w:type="dxa" w:w="120"/>
              <w:bottom w:type="dxa" w:w="100"/>
              <w:right w:type="dxa" w:w="120"/>
            </w:tcMar>
          </w:tcPr>
          <w:p>
            <w:r>
              <w:rPr>
                <w:rFonts w:ascii="Public Sans" w:cs="Public Sans" w:eastAsia="Public Sans" w:hAnsi="Public Sans"/>
                <w:b/>
                <w:bCs/>
                <w:color w:val="FFFFFF"/>
                <w:sz w:val="20"/>
                <w:szCs w:val="20"/>
              </w:rPr>
              <w:t xml:space="preserve">Owner</w:t>
            </w:r>
          </w:p>
        </w:tc>
      </w:tr>
      <w:tr>
        <w:trPr>
          <w:tblHeader w:val="false"/>
        </w:trPr>
        <w:tc>
          <w:tcPr>
            <w:tcW w:type="dxa" w:w="12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1</w:t>
            </w:r>
          </w:p>
        </w:tc>
        <w:tc>
          <w:tcPr>
            <w:tcW w:type="dxa" w:w="24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Run migration_standardization.sql</w:t>
            </w:r>
          </w:p>
        </w:tc>
        <w:tc>
          <w:tcPr>
            <w:tcW w:type="dxa" w:w="336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Adds normalization trigger + indexes to Supabase</w:t>
            </w:r>
          </w:p>
        </w:tc>
        <w:tc>
          <w:tcPr>
            <w:tcW w:type="dxa" w:w="24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Nelson</w:t>
            </w:r>
          </w:p>
        </w:tc>
      </w:tr>
      <w:tr>
        <w:trPr>
          <w:tblHeader w:val="false"/>
        </w:trPr>
        <w:tc>
          <w:tcPr>
            <w:tcW w:type="dxa" w:w="120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Public Sans" w:cs="Public Sans" w:eastAsia="Public Sans" w:hAnsi="Public Sans"/>
                <w:color w:val="212121"/>
                <w:sz w:val="20"/>
                <w:szCs w:val="20"/>
              </w:rPr>
              <w:t xml:space="preserve">2</w:t>
            </w:r>
          </w:p>
        </w:tc>
        <w:tc>
          <w:tcPr>
            <w:tcW w:type="dxa" w:w="240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Public Sans" w:cs="Public Sans" w:eastAsia="Public Sans" w:hAnsi="Public Sans"/>
                <w:color w:val="212121"/>
                <w:sz w:val="20"/>
                <w:szCs w:val="20"/>
              </w:rPr>
              <w:t xml:space="preserve">Deploy TypeScript files</w:t>
            </w:r>
          </w:p>
        </w:tc>
        <w:tc>
          <w:tcPr>
            <w:tcW w:type="dxa" w:w="336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Public Sans" w:cs="Public Sans" w:eastAsia="Public Sans" w:hAnsi="Public Sans"/>
                <w:color w:val="212121"/>
                <w:sz w:val="20"/>
                <w:szCs w:val="20"/>
              </w:rPr>
              <w:t xml:space="preserve">Activates Layers 1 and 2 in the connection creation flow</w:t>
            </w:r>
          </w:p>
        </w:tc>
        <w:tc>
          <w:tcPr>
            <w:tcW w:type="dxa" w:w="240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Public Sans" w:cs="Public Sans" w:eastAsia="Public Sans" w:hAnsi="Public Sans"/>
                <w:color w:val="212121"/>
                <w:sz w:val="20"/>
                <w:szCs w:val="20"/>
              </w:rPr>
              <w:t xml:space="preserve">Brent</w:t>
            </w:r>
          </w:p>
        </w:tc>
      </w:tr>
      <w:tr>
        <w:trPr>
          <w:tblHeader w:val="false"/>
        </w:trPr>
        <w:tc>
          <w:tcPr>
            <w:tcW w:type="dxa" w:w="12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3</w:t>
            </w:r>
          </w:p>
        </w:tc>
        <w:tc>
          <w:tcPr>
            <w:tcW w:type="dxa" w:w="24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Add ANTHROPIC_API_KEY to Doppler</w:t>
            </w:r>
          </w:p>
        </w:tc>
        <w:tc>
          <w:tcPr>
            <w:tcW w:type="dxa" w:w="336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Activates Layer 3 automatically (no code change)</w:t>
            </w:r>
          </w:p>
        </w:tc>
        <w:tc>
          <w:tcPr>
            <w:tcW w:type="dxa" w:w="24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Brent</w:t>
            </w:r>
          </w:p>
        </w:tc>
      </w:tr>
      <w:tr>
        <w:trPr>
          <w:tblHeader w:val="false"/>
        </w:trPr>
        <w:tc>
          <w:tcPr>
            <w:tcW w:type="dxa" w:w="120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Public Sans" w:cs="Public Sans" w:eastAsia="Public Sans" w:hAnsi="Public Sans"/>
                <w:color w:val="212121"/>
                <w:sz w:val="20"/>
                <w:szCs w:val="20"/>
              </w:rPr>
              <w:t xml:space="preserve">4</w:t>
            </w:r>
          </w:p>
        </w:tc>
        <w:tc>
          <w:tcPr>
            <w:tcW w:type="dxa" w:w="240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Public Sans" w:cs="Public Sans" w:eastAsia="Public Sans" w:hAnsi="Public Sans"/>
                <w:color w:val="212121"/>
                <w:sz w:val="20"/>
                <w:szCs w:val="20"/>
              </w:rPr>
              <w:t xml:space="preserve">Run backfill SQL (one-time)</w:t>
            </w:r>
          </w:p>
        </w:tc>
        <w:tc>
          <w:tcPr>
            <w:tcW w:type="dxa" w:w="336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Public Sans" w:cs="Public Sans" w:eastAsia="Public Sans" w:hAnsi="Public Sans"/>
                <w:color w:val="212121"/>
                <w:sz w:val="20"/>
                <w:szCs w:val="20"/>
              </w:rPr>
              <w:t xml:space="preserve">Normalizes all existing display_name records</w:t>
            </w:r>
          </w:p>
        </w:tc>
        <w:tc>
          <w:tcPr>
            <w:tcW w:type="dxa" w:w="2400"/>
            <w:tcBorders>
              <w:top w:val="single" w:color="E2E8E4" w:sz="2"/>
              <w:left w:val="single" w:color="E2E8E4" w:sz="2"/>
              <w:bottom w:val="single" w:color="E2E8E4" w:sz="2"/>
              <w:right w:val="single" w:color="E2E8E4" w:sz="2"/>
            </w:tcBorders>
            <w:shd w:fill="F9FAFB" w:val="clear"/>
            <w:tcMar>
              <w:top w:type="dxa" w:w="80"/>
              <w:left w:type="dxa" w:w="120"/>
              <w:bottom w:type="dxa" w:w="80"/>
              <w:right w:type="dxa" w:w="120"/>
            </w:tcMar>
          </w:tcPr>
          <w:p>
            <w:r>
              <w:rPr>
                <w:rFonts w:ascii="Public Sans" w:cs="Public Sans" w:eastAsia="Public Sans" w:hAnsi="Public Sans"/>
                <w:color w:val="212121"/>
                <w:sz w:val="20"/>
                <w:szCs w:val="20"/>
              </w:rPr>
              <w:t xml:space="preserve">Nelson</w:t>
            </w:r>
          </w:p>
        </w:tc>
      </w:tr>
      <w:tr>
        <w:trPr>
          <w:tblHeader w:val="false"/>
        </w:trPr>
        <w:tc>
          <w:tcPr>
            <w:tcW w:type="dxa" w:w="12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5</w:t>
            </w:r>
          </w:p>
        </w:tc>
        <w:tc>
          <w:tcPr>
            <w:tcW w:type="dxa" w:w="24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Monitor DuplicateWarningBanner</w:t>
            </w:r>
          </w:p>
        </w:tc>
        <w:tc>
          <w:tcPr>
            <w:tcW w:type="dxa" w:w="336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Validate confidence thresholds with real BTW data</w:t>
            </w:r>
          </w:p>
        </w:tc>
        <w:tc>
          <w:tcPr>
            <w:tcW w:type="dxa" w:w="2400"/>
            <w:tcBorders>
              <w:top w:val="single" w:color="E2E8E4" w:sz="2"/>
              <w:left w:val="single" w:color="E2E8E4" w:sz="2"/>
              <w:bottom w:val="single" w:color="E2E8E4" w:sz="2"/>
              <w:right w:val="single" w:color="E2E8E4" w:sz="2"/>
            </w:tcBorders>
            <w:shd w:fill="FFFFFF" w:val="clear"/>
            <w:tcMar>
              <w:top w:type="dxa" w:w="80"/>
              <w:left w:type="dxa" w:w="120"/>
              <w:bottom w:type="dxa" w:w="80"/>
              <w:right w:type="dxa" w:w="120"/>
            </w:tcMar>
          </w:tcPr>
          <w:p>
            <w:r>
              <w:rPr>
                <w:rFonts w:ascii="Public Sans" w:cs="Public Sans" w:eastAsia="Public Sans" w:hAnsi="Public Sans"/>
                <w:color w:val="212121"/>
                <w:sz w:val="20"/>
                <w:szCs w:val="20"/>
              </w:rPr>
              <w:t xml:space="preserve">Alysha</w:t>
            </w:r>
          </w:p>
        </w:tc>
      </w:tr>
    </w:tbl>
    <w:p>
      <w:pPr>
        <w:spacing w:after="400" w:before="0"/>
      </w:pPr>
      <w:r>
        <w:t xml:space="preserve"/>
      </w:r>
    </w:p>
    <w:p>
      <w:pPr>
        <w:pStyle w:val="Heading2"/>
        <w:spacing w:after="160" w:before="360"/>
      </w:pPr>
      <w:r>
        <w:rPr>
          <w:rFonts w:ascii="Public Sans" w:cs="Public Sans" w:eastAsia="Public Sans" w:hAnsi="Public Sans"/>
          <w:b/>
          <w:bCs/>
          <w:color w:val="203229"/>
          <w:sz w:val="28"/>
          <w:szCs w:val="28"/>
        </w:rPr>
        <w:t xml:space="preserve">6.1 Before BTW Cincinnati (July 14-16, 2026)</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Run migration_standardization.sql in Supabase (Step 1). </w:t>
      </w:r>
      <w:r>
        <w:rPr>
          <w:rFonts w:ascii="Public Sans" w:cs="Public Sans" w:eastAsia="Public Sans" w:hAnsi="Public Sans"/>
          <w:b w:val="false"/>
          <w:bCs w:val="false"/>
          <w:i w:val="false"/>
          <w:iCs w:val="false"/>
          <w:color w:val="212121"/>
          <w:sz w:val="22"/>
          <w:szCs w:val="22"/>
        </w:rPr>
        <w:t xml:space="preserve">The trigger and indexes activate immediately. Data written from this point forward is normalized at the DB level.</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Deploy TypeScript files with the next build (Step 2). </w:t>
      </w:r>
      <w:r>
        <w:rPr>
          <w:rFonts w:ascii="Public Sans" w:cs="Public Sans" w:eastAsia="Public Sans" w:hAnsi="Public Sans"/>
          <w:b w:val="false"/>
          <w:bCs w:val="false"/>
          <w:i w:val="false"/>
          <w:iCs w:val="false"/>
          <w:color w:val="212121"/>
          <w:sz w:val="22"/>
          <w:szCs w:val="22"/>
        </w:rPr>
        <w:t xml:space="preserve">The standardize route and DuplicateWarningBanner activate in the connection creation flow.</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Run the backfill query once (Step 4). </w:t>
      </w:r>
      <w:r>
        <w:rPr>
          <w:rFonts w:ascii="Public Sans" w:cs="Public Sans" w:eastAsia="Public Sans" w:hAnsi="Public Sans"/>
          <w:b w:val="false"/>
          <w:bCs w:val="false"/>
          <w:i w:val="false"/>
          <w:iCs w:val="false"/>
          <w:color w:val="212121"/>
          <w:sz w:val="22"/>
          <w:szCs w:val="22"/>
        </w:rPr>
        <w:t xml:space="preserve">Normalizes all existing display_name records from Pilots 1 and 2. Comment out after running.</w:t>
      </w:r>
    </w:p>
    <w:p>
      <w:pPr>
        <w:spacing w:after="160" w:before="0"/>
      </w:pPr>
      <w:r>
        <w:t xml:space="preserve"/>
      </w:r>
    </w:p>
    <w:p>
      <w:pPr>
        <w:pStyle w:val="Heading2"/>
        <w:spacing w:after="160" w:before="360"/>
      </w:pPr>
      <w:r>
        <w:rPr>
          <w:rFonts w:ascii="Public Sans" w:cs="Public Sans" w:eastAsia="Public Sans" w:hAnsi="Public Sans"/>
          <w:b/>
          <w:bCs/>
          <w:color w:val="203229"/>
          <w:sz w:val="28"/>
          <w:szCs w:val="28"/>
        </w:rPr>
        <w:t xml:space="preserve">6.2 Before September 14 Launch</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Confirm ANTHROPIC_API_KEY is in Doppler production config (Step 3). </w:t>
      </w:r>
      <w:r>
        <w:rPr>
          <w:rFonts w:ascii="Public Sans" w:cs="Public Sans" w:eastAsia="Public Sans" w:hAnsi="Public Sans"/>
          <w:b w:val="false"/>
          <w:bCs w:val="false"/>
          <w:i w:val="false"/>
          <w:iCs w:val="false"/>
          <w:color w:val="212121"/>
          <w:sz w:val="22"/>
          <w:szCs w:val="22"/>
        </w:rPr>
        <w:t xml:space="preserve">Layer 3 activates automatically.</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Monitor DuplicateWarningBanner threshold performance (Step 5). </w:t>
      </w:r>
      <w:r>
        <w:rPr>
          <w:rFonts w:ascii="Public Sans" w:cs="Public Sans" w:eastAsia="Public Sans" w:hAnsi="Public Sans"/>
          <w:b w:val="false"/>
          <w:bCs w:val="false"/>
          <w:i w:val="false"/>
          <w:iCs w:val="false"/>
          <w:color w:val="212121"/>
          <w:sz w:val="22"/>
          <w:szCs w:val="22"/>
        </w:rPr>
        <w:t xml:space="preserve">Adjust the fuzzy threshold in DEFAULT_CONFIG if BTW data shows too many false positives or missed duplicates.</w:t>
      </w:r>
    </w:p>
    <w:p>
      <w:pPr>
        <w:spacing w:after="160" w:before="0"/>
      </w:pPr>
      <w:r>
        <w:t xml:space="preserve"/>
      </w:r>
    </w:p>
    <w:p>
      <w:pPr>
        <w:pStyle w:val="Heading2"/>
        <w:spacing w:after="160" w:before="360"/>
      </w:pPr>
      <w:r>
        <w:rPr>
          <w:rFonts w:ascii="Public Sans" w:cs="Public Sans" w:eastAsia="Public Sans" w:hAnsi="Public Sans"/>
          <w:b/>
          <w:bCs/>
          <w:color w:val="203229"/>
          <w:sz w:val="28"/>
          <w:szCs w:val="28"/>
        </w:rPr>
        <w:t xml:space="preserve">6.3 Post-BTW (July 17+ 2026)</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Nelson runs the Arrow export against BTW date range. </w:t>
      </w:r>
      <w:r>
        <w:rPr>
          <w:rFonts w:ascii="Public Sans" w:cs="Public Sans" w:eastAsia="Public Sans" w:hAnsi="Public Sans"/>
          <w:b w:val="false"/>
          <w:bCs w:val="false"/>
          <w:i w:val="false"/>
          <w:iCs w:val="false"/>
          <w:color w:val="212121"/>
          <w:sz w:val="22"/>
          <w:szCs w:val="22"/>
        </w:rPr>
        <w:t xml:space="preserve">Three Parquet files land in ./data/ as the Pilot 3 research artifact.</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Nelson runs analysis.py to produce Study One findings. </w:t>
      </w:r>
      <w:r>
        <w:rPr>
          <w:rFonts w:ascii="Public Sans" w:cs="Public Sans" w:eastAsia="Public Sans" w:hAnsi="Public Sans"/>
          <w:b w:val="false"/>
          <w:bCs w:val="false"/>
          <w:i w:val="false"/>
          <w:iCs w:val="false"/>
          <w:color w:val="212121"/>
          <w:sz w:val="22"/>
          <w:szCs w:val="22"/>
        </w:rPr>
        <w:t xml:space="preserve">The batch standardization pass cleans the research dataset before analysis runs.</w:t>
      </w:r>
    </w:p>
    <w:p>
      <w:pPr>
        <w:spacing w:after="240" w:before="0"/>
      </w:pPr>
      <w:r>
        <w:t xml:space="preserve"/>
      </w:r>
    </w:p>
    <w:p>
      <w:pPr>
        <w:pBdr>
          <w:bottom w:val="single" w:color="E2E8E4" w:sz="2" w:space="1"/>
        </w:pBdr>
        <w:spacing w:after="240" w:before="120"/>
      </w:pPr>
      <w:r>
        <w:t xml:space="preserve"/>
      </w:r>
    </w:p>
    <w:p>
      <w:pPr>
        <w:pStyle w:val="Heading1"/>
        <w:pBdr>
          <w:bottom w:val="single" w:color="B1FA63" w:sz="6" w:space="4"/>
        </w:pBdr>
        <w:spacing w:after="200" w:before="480"/>
      </w:pPr>
      <w:r>
        <w:rPr>
          <w:rFonts w:ascii="Public Sans" w:cs="Public Sans" w:eastAsia="Public Sans" w:hAnsi="Public Sans"/>
          <w:b/>
          <w:bCs/>
          <w:color w:val="203229"/>
          <w:sz w:val="36"/>
          <w:szCs w:val="36"/>
        </w:rPr>
        <w:t xml:space="preserve">7. SODA-Specific Notes</w:t>
      </w:r>
    </w:p>
    <w:p>
      <w:pPr>
        <w:pStyle w:val="Heading2"/>
        <w:spacing w:after="160" w:before="360"/>
      </w:pPr>
      <w:r>
        <w:rPr>
          <w:rFonts w:ascii="Public Sans" w:cs="Public Sans" w:eastAsia="Public Sans" w:hAnsi="Public Sans"/>
          <w:b/>
          <w:bCs/>
          <w:color w:val="203229"/>
          <w:sz w:val="28"/>
          <w:szCs w:val="28"/>
        </w:rPr>
        <w:t xml:space="preserve">7.1 SODA-EMBED-002 Compatibility</w:t>
      </w:r>
    </w:p>
    <w:p>
      <w:pPr>
        <w:spacing w:after="160" w:before="0"/>
        <w:jc w:val="left"/>
      </w:pPr>
      <w:r>
        <w:rPr>
          <w:rFonts w:ascii="Public Sans" w:cs="Public Sans" w:eastAsia="Public Sans" w:hAnsi="Public Sans"/>
          <w:b w:val="false"/>
          <w:bCs w:val="false"/>
          <w:i w:val="false"/>
          <w:iCs w:val="false"/>
          <w:color w:val="212121"/>
          <w:sz w:val="22"/>
          <w:szCs w:val="22"/>
        </w:rPr>
        <w:t xml:space="preserve">The entity standardization system operates within SODA's ambient nudge constraint. The DuplicateWarningBanner is a user-initiated UI element that appears only during connection creation, not as an ambient notification. It does not violate the Ghost language lockout. The standardization API routes do not emit push notifications.</w:t>
      </w:r>
    </w:p>
    <w:p>
      <w:pPr>
        <w:pStyle w:val="Heading2"/>
        <w:spacing w:after="160" w:before="360"/>
      </w:pPr>
      <w:r>
        <w:rPr>
          <w:rFonts w:ascii="Public Sans" w:cs="Public Sans" w:eastAsia="Public Sans" w:hAnsi="Public Sans"/>
          <w:b/>
          <w:bCs/>
          <w:color w:val="203229"/>
          <w:sz w:val="28"/>
          <w:szCs w:val="28"/>
        </w:rPr>
        <w:t xml:space="preserve">7.2 Chip System Interaction</w:t>
      </w:r>
    </w:p>
    <w:p>
      <w:pPr>
        <w:spacing w:after="160" w:before="0"/>
        <w:jc w:val="left"/>
      </w:pPr>
      <w:r>
        <w:rPr>
          <w:rFonts w:ascii="Public Sans" w:cs="Public Sans" w:eastAsia="Public Sans" w:hAnsi="Public Sans"/>
          <w:b w:val="false"/>
          <w:bCs w:val="false"/>
          <w:i w:val="false"/>
          <w:iCs w:val="false"/>
          <w:color w:val="212121"/>
          <w:sz w:val="22"/>
          <w:szCs w:val="22"/>
        </w:rPr>
        <w:t xml:space="preserve">The seven chip types (capital, talent, customers, knowledge, community, resources, creative) are enum values with no freeform text. They do not require standardization. Tag standardization (Layer 2 findDuplicateTags, Layer 3 resolveTagGroups) applies to the tags jsonb field on connections, not to chip_type values in the loop_events ledger.</w:t>
      </w:r>
    </w:p>
    <w:p>
      <w:pPr>
        <w:pStyle w:val="Heading2"/>
        <w:spacing w:after="160" w:before="360"/>
      </w:pPr>
      <w:r>
        <w:rPr>
          <w:rFonts w:ascii="Public Sans" w:cs="Public Sans" w:eastAsia="Public Sans" w:hAnsi="Public Sans"/>
          <w:b/>
          <w:bCs/>
          <w:color w:val="203229"/>
          <w:sz w:val="28"/>
          <w:szCs w:val="28"/>
        </w:rPr>
        <w:t xml:space="preserve">7.3 Study One Data Integrity</w:t>
      </w:r>
    </w:p>
    <w:p>
      <w:pPr>
        <w:spacing w:after="160" w:before="0"/>
        <w:jc w:val="left"/>
      </w:pPr>
      <w:r>
        <w:rPr>
          <w:rFonts w:ascii="Public Sans" w:cs="Public Sans" w:eastAsia="Public Sans" w:hAnsi="Public Sans"/>
          <w:b w:val="false"/>
          <w:bCs w:val="false"/>
          <w:i w:val="false"/>
          <w:iCs w:val="false"/>
          <w:color w:val="212121"/>
          <w:sz w:val="22"/>
          <w:szCs w:val="22"/>
        </w:rPr>
        <w:t xml:space="preserve">The loop_events ledger is append-only. Entity standardization does not write to loop_events. It operates on the connections and connection_history tables only. Study One analysis uses the Parquet export of loop_events as its primary source, and uses the batch standardization output from connection data as a supplementary research artifact for understanding identity resolution quality across the pilot cohort.</w:t>
      </w:r>
    </w:p>
    <w:p>
      <w:pPr>
        <w:pBdr>
          <w:bottom w:val="single" w:color="E2E8E4" w:sz="2" w:space="1"/>
        </w:pBdr>
        <w:spacing w:after="240" w:before="120"/>
      </w:pPr>
      <w:r>
        <w:t xml:space="preserve"/>
      </w:r>
    </w:p>
    <w:p>
      <w:pPr>
        <w:pStyle w:val="Heading1"/>
        <w:pBdr>
          <w:bottom w:val="single" w:color="B1FA63" w:sz="6" w:space="4"/>
        </w:pBdr>
        <w:spacing w:after="200" w:before="480"/>
      </w:pPr>
      <w:r>
        <w:rPr>
          <w:rFonts w:ascii="Public Sans" w:cs="Public Sans" w:eastAsia="Public Sans" w:hAnsi="Public Sans"/>
          <w:b/>
          <w:bCs/>
          <w:color w:val="203229"/>
          <w:sz w:val="36"/>
          <w:szCs w:val="36"/>
        </w:rPr>
        <w:t xml:space="preserve">8. Future Considerations</w:t>
      </w:r>
    </w:p>
    <w:p>
      <w:pPr>
        <w:pStyle w:val="Heading2"/>
        <w:spacing w:after="160" w:before="360"/>
      </w:pPr>
      <w:r>
        <w:rPr>
          <w:rFonts w:ascii="Public Sans" w:cs="Public Sans" w:eastAsia="Public Sans" w:hAnsi="Public Sans"/>
          <w:b/>
          <w:bCs/>
          <w:color w:val="203229"/>
          <w:sz w:val="28"/>
          <w:szCs w:val="28"/>
        </w:rPr>
        <w:t xml:space="preserve">8.1 pgvector Integration (Season 2)</w:t>
      </w:r>
    </w:p>
    <w:p>
      <w:pPr>
        <w:spacing w:after="160" w:before="0"/>
        <w:jc w:val="left"/>
      </w:pPr>
      <w:r>
        <w:rPr>
          <w:rFonts w:ascii="Public Sans" w:cs="Public Sans" w:eastAsia="Public Sans" w:hAnsi="Public Sans"/>
          <w:b w:val="false"/>
          <w:bCs w:val="false"/>
          <w:i w:val="false"/>
          <w:iCs w:val="false"/>
          <w:color w:val="212121"/>
          <w:sz w:val="22"/>
          <w:szCs w:val="22"/>
        </w:rPr>
        <w:t xml:space="preserve">The Semantic Connection Search feature already plans to use pgvector for embedding-based similarity search. When that infrastructure is in place, Layer 2 fuzzy matching can be supplemented with vector similarity against name embeddings stored in Supabase. This would catch "Mike" vs "Michael" at the DB layer without a separate Python fuzzy matching pass. The engine interface remains unchanged; only the Layer 2 implementation evolves.</w:t>
      </w:r>
    </w:p>
    <w:p>
      <w:pPr>
        <w:pStyle w:val="Heading2"/>
        <w:spacing w:after="160" w:before="360"/>
      </w:pPr>
      <w:r>
        <w:rPr>
          <w:rFonts w:ascii="Public Sans" w:cs="Public Sans" w:eastAsia="Public Sans" w:hAnsi="Public Sans"/>
          <w:b/>
          <w:bCs/>
          <w:color w:val="203229"/>
          <w:sz w:val="28"/>
          <w:szCs w:val="28"/>
        </w:rPr>
        <w:t xml:space="preserve">8.2 Apache Spark Integration (Season 3)</w:t>
      </w:r>
    </w:p>
    <w:p>
      <w:pPr>
        <w:spacing w:after="160" w:before="0"/>
        <w:jc w:val="left"/>
      </w:pPr>
      <w:r>
        <w:rPr>
          <w:rFonts w:ascii="Public Sans" w:cs="Public Sans" w:eastAsia="Public Sans" w:hAnsi="Public Sans"/>
          <w:b w:val="false"/>
          <w:bCs w:val="false"/>
          <w:i w:val="false"/>
          <w:iCs w:val="false"/>
          <w:color w:val="212121"/>
          <w:sz w:val="22"/>
          <w:szCs w:val="22"/>
        </w:rPr>
        <w:t xml:space="preserve">When the user base grows past tens of thousands, the batch standardization pass becomes a Spark job. The Parquet files produced by the Arrow export are already Spark-readable. The batchStandardize() function signature maps cleanly to a Spark DataFrame transform. No architectural changes are required; the engine becomes the interface to a distributed computation.</w:t>
      </w:r>
    </w:p>
    <w:p>
      <w:pPr>
        <w:pStyle w:val="Heading2"/>
        <w:spacing w:after="160" w:before="360"/>
      </w:pPr>
      <w:r>
        <w:rPr>
          <w:rFonts w:ascii="Public Sans" w:cs="Public Sans" w:eastAsia="Public Sans" w:hAnsi="Public Sans"/>
          <w:b/>
          <w:bCs/>
          <w:color w:val="203229"/>
          <w:sz w:val="28"/>
          <w:szCs w:val="28"/>
        </w:rPr>
        <w:t xml:space="preserve">8.3 Feedback Loop</w:t>
      </w:r>
    </w:p>
    <w:p>
      <w:pPr>
        <w:spacing w:after="160" w:before="0"/>
        <w:jc w:val="left"/>
      </w:pPr>
      <w:r>
        <w:rPr>
          <w:rFonts w:ascii="Public Sans" w:cs="Public Sans" w:eastAsia="Public Sans" w:hAnsi="Public Sans"/>
          <w:b w:val="false"/>
          <w:bCs w:val="false"/>
          <w:i w:val="false"/>
          <w:iCs w:val="false"/>
          <w:color w:val="212121"/>
          <w:sz w:val="22"/>
          <w:szCs w:val="22"/>
        </w:rPr>
        <w:t xml:space="preserve">Every user decision in DuplicateWarningBanner (merge or dismiss) is a labeled training signal. When the user confirms a merge, that is a true positive. When the user dismisses, that is a false positive. These signals should eventually feed back into the confidence thresholds and potentially fine-tune the Layer 3 prompt. The merge API route logs the merge in connection_history with metadata that makes these signals recoverable from the Parquet export.</w:t>
      </w:r>
    </w:p>
    <w:p>
      <w:pPr>
        <w:pBdr>
          <w:bottom w:val="single" w:color="E2E8E4" w:sz="2" w:space="1"/>
        </w:pBdr>
        <w:spacing w:after="240" w:before="120"/>
      </w:pPr>
      <w:r>
        <w:t xml:space="preserve"/>
      </w:r>
    </w:p>
    <w:p>
      <w:r>
        <w:br w:type="page"/>
      </w:r>
    </w:p>
    <w:p>
      <w:pPr>
        <w:pStyle w:val="Heading1"/>
        <w:pBdr>
          <w:bottom w:val="single" w:color="B1FA63" w:sz="6" w:space="4"/>
        </w:pBdr>
        <w:spacing w:after="200" w:before="480"/>
      </w:pPr>
      <w:r>
        <w:rPr>
          <w:rFonts w:ascii="Public Sans" w:cs="Public Sans" w:eastAsia="Public Sans" w:hAnsi="Public Sans"/>
          <w:b/>
          <w:bCs/>
          <w:color w:val="203229"/>
          <w:sz w:val="36"/>
          <w:szCs w:val="36"/>
        </w:rPr>
        <w:t xml:space="preserve">Appendix: Quick Reference</w:t>
      </w:r>
    </w:p>
    <w:p>
      <w:pPr>
        <w:pStyle w:val="Heading2"/>
        <w:spacing w:after="160" w:before="360"/>
      </w:pPr>
      <w:r>
        <w:rPr>
          <w:rFonts w:ascii="Public Sans" w:cs="Public Sans" w:eastAsia="Public Sans" w:hAnsi="Public Sans"/>
          <w:b/>
          <w:bCs/>
          <w:color w:val="203229"/>
          <w:sz w:val="28"/>
          <w:szCs w:val="28"/>
        </w:rPr>
        <w:t xml:space="preserve">API Endpoints Added</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POST /api/connections/standardize </w:t>
      </w:r>
      <w:r>
        <w:rPr>
          <w:rFonts w:ascii="Public Sans" w:cs="Public Sans" w:eastAsia="Public Sans" w:hAnsi="Public Sans"/>
          <w:b w:val="false"/>
          <w:bCs w:val="false"/>
          <w:i w:val="false"/>
          <w:iCs w:val="false"/>
          <w:color w:val="212121"/>
          <w:sz w:val="22"/>
          <w:szCs w:val="22"/>
        </w:rPr>
        <w:t xml:space="preserve">Check for duplicates (no DB write). Body: { display_name }. Returns StandardizationResult.</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PATCH /api/connections/merge </w:t>
      </w:r>
      <w:r>
        <w:rPr>
          <w:rFonts w:ascii="Public Sans" w:cs="Public Sans" w:eastAsia="Public Sans" w:hAnsi="Public Sans"/>
          <w:b w:val="false"/>
          <w:bCs w:val="false"/>
          <w:i w:val="false"/>
          <w:iCs w:val="false"/>
          <w:color w:val="212121"/>
          <w:sz w:val="22"/>
          <w:szCs w:val="22"/>
        </w:rPr>
        <w:t xml:space="preserve">Merge two connections (writes DB). Body: { source_id, target_id, canonical_name }. Returns { ok, merged_into, canonical_name }.</w:t>
      </w:r>
    </w:p>
    <w:p>
      <w:pPr>
        <w:spacing w:after="240" w:before="0"/>
      </w:pPr>
      <w:r>
        <w:t xml:space="preserve"/>
      </w:r>
    </w:p>
    <w:p>
      <w:pPr>
        <w:pStyle w:val="Heading2"/>
        <w:spacing w:after="160" w:before="360"/>
      </w:pPr>
      <w:r>
        <w:rPr>
          <w:rFonts w:ascii="Public Sans" w:cs="Public Sans" w:eastAsia="Public Sans" w:hAnsi="Public Sans"/>
          <w:b/>
          <w:bCs/>
          <w:color w:val="203229"/>
          <w:sz w:val="28"/>
          <w:szCs w:val="28"/>
        </w:rPr>
        <w:t xml:space="preserve">Environment Variables</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ANTHROPIC_API_KEY </w:t>
      </w:r>
      <w:r>
        <w:rPr>
          <w:rFonts w:ascii="Public Sans" w:cs="Public Sans" w:eastAsia="Public Sans" w:hAnsi="Public Sans"/>
          <w:b w:val="false"/>
          <w:bCs w:val="false"/>
          <w:i w:val="false"/>
          <w:iCs w:val="false"/>
          <w:color w:val="212121"/>
          <w:sz w:val="22"/>
          <w:szCs w:val="22"/>
        </w:rPr>
        <w:t xml:space="preserve">Activates Layer 3. Set in Doppler. Required for AI pair confirmation and batch resolution. Optional at runtime.</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CLAUDE_DRAFT_MODEL </w:t>
      </w:r>
      <w:r>
        <w:rPr>
          <w:rFonts w:ascii="Public Sans" w:cs="Public Sans" w:eastAsia="Public Sans" w:hAnsi="Public Sans"/>
          <w:b w:val="false"/>
          <w:bCs w:val="false"/>
          <w:i w:val="false"/>
          <w:iCs w:val="false"/>
          <w:color w:val="212121"/>
          <w:sz w:val="22"/>
          <w:szCs w:val="22"/>
        </w:rPr>
        <w:t xml:space="preserve">Specifies the Claude model for Layer 3 calls. Defaults to claude-haiku-4-5-20251001.</w:t>
      </w:r>
    </w:p>
    <w:p>
      <w:pPr>
        <w:spacing w:after="240" w:before="0"/>
      </w:pPr>
      <w:r>
        <w:t xml:space="preserve"/>
      </w:r>
    </w:p>
    <w:p>
      <w:pPr>
        <w:pStyle w:val="Heading2"/>
        <w:spacing w:after="160" w:before="360"/>
      </w:pPr>
      <w:r>
        <w:rPr>
          <w:rFonts w:ascii="Public Sans" w:cs="Public Sans" w:eastAsia="Public Sans" w:hAnsi="Public Sans"/>
          <w:b/>
          <w:bCs/>
          <w:color w:val="203229"/>
          <w:sz w:val="28"/>
          <w:szCs w:val="28"/>
        </w:rPr>
        <w:t xml:space="preserve">Confidence Threshold Quick Reference</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0.92+ </w:t>
      </w:r>
      <w:r>
        <w:rPr>
          <w:rFonts w:ascii="Public Sans" w:cs="Public Sans" w:eastAsia="Public Sans" w:hAnsi="Public Sans"/>
          <w:b w:val="false"/>
          <w:bCs w:val="false"/>
          <w:i w:val="false"/>
          <w:iCs w:val="false"/>
          <w:color w:val="212121"/>
          <w:sz w:val="22"/>
          <w:szCs w:val="22"/>
        </w:rPr>
        <w:t xml:space="preserve">High — DuplicateWarningBanner shows "Very likely" pill. Merge prompt is prominent.</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0.75-0.91 </w:t>
      </w:r>
      <w:r>
        <w:rPr>
          <w:rFonts w:ascii="Public Sans" w:cs="Public Sans" w:eastAsia="Public Sans" w:hAnsi="Public Sans"/>
          <w:b w:val="false"/>
          <w:bCs w:val="false"/>
          <w:i w:val="false"/>
          <w:iCs w:val="false"/>
          <w:color w:val="212121"/>
          <w:sz w:val="22"/>
          <w:szCs w:val="22"/>
        </w:rPr>
        <w:t xml:space="preserve">Medium — Banner shows "Possibly" pill. Layer 3 confirmation runs if AI available.</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0.60-0.74 </w:t>
      </w:r>
      <w:r>
        <w:rPr>
          <w:rFonts w:ascii="Public Sans" w:cs="Public Sans" w:eastAsia="Public Sans" w:hAnsi="Public Sans"/>
          <w:b w:val="false"/>
          <w:bCs w:val="false"/>
          <w:i w:val="false"/>
          <w:iCs w:val="false"/>
          <w:color w:val="212121"/>
          <w:sz w:val="22"/>
          <w:szCs w:val="22"/>
        </w:rPr>
        <w:t xml:space="preserve">Low — Not surfaced in UI. Available in StandardizationResult.duplicates for logging.</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Below 0.60 </w:t>
      </w:r>
      <w:r>
        <w:rPr>
          <w:rFonts w:ascii="Public Sans" w:cs="Public Sans" w:eastAsia="Public Sans" w:hAnsi="Public Sans"/>
          <w:b w:val="false"/>
          <w:bCs w:val="false"/>
          <w:i w:val="false"/>
          <w:iCs w:val="false"/>
          <w:color w:val="212121"/>
          <w:sz w:val="22"/>
          <w:szCs w:val="22"/>
        </w:rPr>
        <w:t xml:space="preserve">Not a candidate. Filtered out before the result is returned.</w:t>
      </w:r>
    </w:p>
    <w:p>
      <w:pPr>
        <w:spacing w:after="240" w:before="0"/>
      </w:pPr>
      <w:r>
        <w:t xml:space="preserve"/>
      </w:r>
    </w:p>
    <w:p>
      <w:pPr>
        <w:pStyle w:val="Heading2"/>
        <w:spacing w:after="160" w:before="360"/>
      </w:pPr>
      <w:r>
        <w:rPr>
          <w:rFonts w:ascii="Public Sans" w:cs="Public Sans" w:eastAsia="Public Sans" w:hAnsi="Public Sans"/>
          <w:b/>
          <w:bCs/>
          <w:color w:val="203229"/>
          <w:sz w:val="28"/>
          <w:szCs w:val="28"/>
        </w:rPr>
        <w:t xml:space="preserve">Pilot Sequencing Reference</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Pilot 1 </w:t>
      </w:r>
      <w:r>
        <w:rPr>
          <w:rFonts w:ascii="Public Sans" w:cs="Public Sans" w:eastAsia="Public Sans" w:hAnsi="Public Sans"/>
          <w:b w:val="false"/>
          <w:bCs w:val="false"/>
          <w:i w:val="false"/>
          <w:iCs w:val="false"/>
          <w:color w:val="212121"/>
          <w:sz w:val="22"/>
          <w:szCs w:val="22"/>
        </w:rPr>
        <w:t xml:space="preserve">Coffee Connect — June 17, 2026 — 19 attendees, 145 matches, 62 mutual</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Pilot 2 </w:t>
      </w:r>
      <w:r>
        <w:rPr>
          <w:rFonts w:ascii="Public Sans" w:cs="Public Sans" w:eastAsia="Public Sans" w:hAnsi="Public Sans"/>
          <w:b w:val="false"/>
          <w:bCs w:val="false"/>
          <w:i w:val="false"/>
          <w:iCs w:val="false"/>
          <w:color w:val="212121"/>
          <w:sz w:val="22"/>
          <w:szCs w:val="22"/>
        </w:rPr>
        <w:t xml:space="preserve">Latinos N Tech — upcoming</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Pilot 3 </w:t>
      </w:r>
      <w:r>
        <w:rPr>
          <w:rFonts w:ascii="Public Sans" w:cs="Public Sans" w:eastAsia="Public Sans" w:hAnsi="Public Sans"/>
          <w:b w:val="false"/>
          <w:bCs w:val="false"/>
          <w:i w:val="false"/>
          <w:iCs w:val="false"/>
          <w:color w:val="212121"/>
          <w:sz w:val="22"/>
          <w:szCs w:val="22"/>
        </w:rPr>
        <w:t xml:space="preserve">BTW Cincinnati — July 14-16, 2026 — founding Study One dataset</w:t>
      </w:r>
    </w:p>
    <w:p>
      <w:pPr>
        <w:pStyle w:val="ListParagraph"/>
        <w:numPr>
          <w:ilvl w:val="0"/>
          <w:numId w:val="2"/>
        </w:numPr>
        <w:spacing w:after="80" w:before="40"/>
      </w:pPr>
      <w:r>
        <w:rPr>
          <w:rFonts w:ascii="Public Sans" w:cs="Public Sans" w:eastAsia="Public Sans" w:hAnsi="Public Sans"/>
          <w:b/>
          <w:bCs/>
          <w:i w:val="false"/>
          <w:iCs w:val="false"/>
          <w:color w:val="212121"/>
          <w:sz w:val="22"/>
          <w:szCs w:val="22"/>
        </w:rPr>
        <w:t xml:space="preserve">Launch </w:t>
      </w:r>
      <w:r>
        <w:rPr>
          <w:rFonts w:ascii="Public Sans" w:cs="Public Sans" w:eastAsia="Public Sans" w:hAnsi="Public Sans"/>
          <w:b w:val="false"/>
          <w:bCs w:val="false"/>
          <w:i w:val="false"/>
          <w:iCs w:val="false"/>
          <w:color w:val="212121"/>
          <w:sz w:val="22"/>
          <w:szCs w:val="22"/>
        </w:rPr>
        <w:t xml:space="preserve">September 14, 2026 — Futureland 4th anniversary</w:t>
      </w:r>
    </w:p>
    <w:p>
      <w:pPr>
        <w:spacing w:after="240" w:before="0"/>
      </w:pPr>
      <w:r>
        <w:t xml:space="preserve"/>
      </w:r>
    </w:p>
    <w:p>
      <w:pPr>
        <w:pBdr>
          <w:bottom w:val="single" w:color="E2E8E4" w:sz="2" w:space="1"/>
        </w:pBdr>
        <w:spacing w:after="240" w:before="120"/>
      </w:pPr>
      <w:r>
        <w:t xml:space="preserve"/>
      </w:r>
    </w:p>
    <w:p>
      <w:pPr>
        <w:spacing w:after="160" w:before="0"/>
        <w:jc w:val="left"/>
      </w:pPr>
      <w:r>
        <w:rPr>
          <w:rFonts w:ascii="Public Sans" w:cs="Public Sans" w:eastAsia="Public Sans" w:hAnsi="Public Sans"/>
          <w:b w:val="false"/>
          <w:bCs w:val="false"/>
          <w:i/>
          <w:iCs/>
          <w:color w:val="6B7280"/>
          <w:sz w:val="18"/>
          <w:szCs w:val="18"/>
        </w:rPr>
        <w:t xml:space="preserve">Document prepared June 2026. Equalpoint Inc. (Delaware C-Corp) and Futureland Inc. (Cleveland 501(c)(3)).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Public Sans">
    <w:panose1 w:val="020B0502060204030203"/>
    <w:charset w:val="00"/>
    <w:family w:val="swiss"/>
    <w:notTrueType/>
    <w:pitch w:val="variable"/>
    <w:sig w:usb0="E0002AFF" w:usb1="C000247B" w:usb2="00000009" w:usb3="00000000" w:csb0="000001FF" w:csb1="00000000"/>
    <w:embedRegular r:id="rIdFontRegular"/>
    <w:embedBold r:id="rIdFontBold"/>
    <w:embedItalic r:id="rIdFontItalic"/>
    <w:embedBoldItalic r:id="rIdFontBoldItalic"/>
  </w:font>
  <w:font w:name="Courier New">
    <w:panose1 w:val="02070309020205020404"/>
    <w:charset w:val="00"/>
    <w:family w:val="modern"/>
    <w:pitch w:val="fixed"/>
  </w:font>
  <w:font w:name="Arial">
    <w:panose1 w:val="020B0604020202020204"/>
    <w:charset w:val="00"/>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E4" w:sz="4" w:space="4"/>
      </w:pBdr>
      <w:tabs>
        <w:tab w:val="right" w:pos="9026"/>
      </w:tabs>
      <w:spacing w:after="0" w:before="160"/>
    </w:pPr>
    <w:r>
      <w:rPr>
        <w:rFonts w:ascii="Public Sans" w:cs="Public Sans" w:eastAsia="Public Sans" w:hAnsi="Public Sans"/>
        <w:color w:val="6B7280"/>
        <w:sz w:val="18"/>
        <w:szCs w:val="18"/>
      </w:rPr>
      <w:t xml:space="preserve">Confidential</w:t>
    </w:r>
    <w:r>
      <w:rPr>
        <w:rFonts w:ascii="Public Sans" w:cs="Public Sans" w:eastAsia="Public Sans" w:hAnsi="Public Sans"/>
        <w:color w:val="6B7280"/>
        <w:sz w:val="18"/>
        <w:szCs w:val="18"/>
      </w:rPr>
      <w:t xml:space="preserve">	Page </w:t>
    </w:r>
    <w:r>
      <w:rPr>
        <w:rFonts w:ascii="Public Sans" w:cs="Public Sans" w:eastAsia="Public Sans" w:hAnsi="Public Sans"/>
        <w:color w:val="6B7280"/>
        <w:sz w:val="18"/>
        <w:szCs w:val="18"/>
      </w:rPr>
      <w:fldChar w:fldCharType="begin"/>
      <w:instrText xml:space="preserve">PAGE</w:instrText>
      <w:fldChar w:fldCharType="separate"/>
      <w:fldChar w:fldCharType="end"/>
    </w:r>
    <w:r>
      <w:rPr>
        <w:rFonts w:ascii="Public Sans" w:cs="Public Sans" w:eastAsia="Public Sans" w:hAnsi="Public Sans"/>
        <w:color w:val="6B7280"/>
        <w:sz w:val="18"/>
        <w:szCs w:val="18"/>
      </w:rPr>
      <w:t xml:space="preserve"> of </w:t>
    </w:r>
    <w:r>
      <w:rPr>
        <w:rFonts w:ascii="Public Sans" w:cs="Public Sans" w:eastAsia="Public Sans" w:hAnsi="Public Sans"/>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E4" w:sz="4" w:space="4"/>
      </w:pBdr>
      <w:tabs>
        <w:tab w:val="right" w:pos="9026"/>
      </w:tabs>
      <w:spacing w:after="160" w:before="0"/>
    </w:pPr>
    <w:r>
      <w:rPr>
        <w:rFonts w:ascii="Public Sans" w:cs="Public Sans" w:eastAsia="Public Sans" w:hAnsi="Public Sans"/>
        <w:b/>
        <w:bCs/>
        <w:color w:val="203229"/>
        <w:sz w:val="18"/>
        <w:szCs w:val="18"/>
      </w:rPr>
      <w:t xml:space="preserve">EQUALPOINT + SODA</w:t>
    </w:r>
    <w:r>
      <w:rPr>
        <w:rFonts w:ascii="Public Sans" w:cs="Public Sans" w:eastAsia="Public Sans" w:hAnsi="Public Sans"/>
        <w:color w:val="6B7280"/>
        <w:sz w:val="18"/>
        <w:szCs w:val="18"/>
      </w:rPr>
      <w:t xml:space="preserve">	Entity Standardization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ublic Sans" w:cs="Public Sans" w:eastAsia="Public Sans" w:hAnsi="Public Sans"/>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Public Sans" w:cs="Public Sans" w:eastAsia="Public Sans" w:hAnsi="Public Sans"/>
      <w:b/>
      <w:bCs/>
      <w:color w:val="203229"/>
      <w:sz w:val="36"/>
      <w:szCs w:val="36"/>
    </w:rPr>
  </w:style>
  <w:style w:type="paragraph" w:styleId="Heading2">
    <w:name w:val="Heading 2"/>
    <w:basedOn w:val="Normal"/>
    <w:next w:val="Normal"/>
    <w:qFormat/>
    <w:pPr>
      <w:spacing w:after="160" w:before="360"/>
      <w:outlineLvl w:val="1"/>
    </w:pPr>
    <w:rPr>
      <w:rFonts w:ascii="Public Sans" w:cs="Public Sans" w:eastAsia="Public Sans" w:hAnsi="Public Sans"/>
      <w:b/>
      <w:bCs/>
      <w:color w:val="203229"/>
      <w:sz w:val="28"/>
      <w:szCs w:val="28"/>
    </w:rPr>
  </w:style>
  <w:style w:type="paragraph" w:styleId="Heading3">
    <w:name w:val="Heading 3"/>
    <w:basedOn w:val="Normal"/>
    <w:next w:val="Normal"/>
    <w:qFormat/>
    <w:pPr>
      <w:spacing w:after="120" w:before="280"/>
      <w:outlineLvl w:val="2"/>
    </w:pPr>
    <w:rPr>
      <w:rFonts w:ascii="Public Sans" w:cs="Public Sans" w:eastAsia="Public Sans" w:hAnsi="Public Sans"/>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FontRegular" Type="http://schemas.openxmlformats.org/officeDocument/2006/relationships/font" Target="fonts/PublicSans-Regular.odttf"/><Relationship Id="rIdFontBold" Type="http://schemas.openxmlformats.org/officeDocument/2006/relationships/font" Target="fonts/PublicSans-Bold.odttf"/><Relationship Id="rIdFontItalic" Type="http://schemas.openxmlformats.org/officeDocument/2006/relationships/font" Target="fonts/PublicSans-Italic.odttf"/><Relationship Id="rIdFontBoldItalic" Type="http://schemas.openxmlformats.org/officeDocument/2006/relationships/font" Target="fonts/PublicSans-BoldItalic.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2026-06-30T01:03:50.103Z</dcterms:created>
  <dcterms:modified xsi:type="dcterms:W3CDTF">2026-06-30T01:03:50.103Z</dcterms:modified>
</cp:coreProperties>
</file>

<file path=docProps/custom.xml><?xml version="1.0" encoding="utf-8"?>
<Properties xmlns="http://schemas.openxmlformats.org/officeDocument/2006/custom-properties" xmlns:vt="http://schemas.openxmlformats.org/officeDocument/2006/docPropsVTypes"/>
</file>