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1900"/>
        <w:jc w:val="center"/>
      </w:pPr>
      <w:r>
        <w:rPr>
          <w:rFonts w:ascii="Arial" w:cs="Arial" w:eastAsia="Arial" w:hAnsi="Arial"/>
          <w:b/>
          <w:bCs/>
          <w:color w:val="14210B"/>
          <w:sz w:val="80"/>
          <w:szCs w:val="80"/>
        </w:rPr>
        <w:t xml:space="preserve">SODA</w:t>
      </w:r>
    </w:p>
    <w:p>
      <w:pPr>
        <w:pBdr>
          <w:bottom w:val="single" w:color="3BD75C" w:sz="8" w:space="8"/>
        </w:pBdr>
        <w:spacing w:after="24"/>
        <w:jc w:val="center"/>
      </w:pPr>
      <w:r>
        <w:rPr>
          <w:rFonts w:ascii="Arial" w:cs="Arial" w:eastAsia="Arial" w:hAnsi="Arial"/>
          <w:b/>
          <w:bCs/>
          <w:color w:val="203229"/>
          <w:sz w:val="23"/>
          <w:szCs w:val="23"/>
        </w:rPr>
        <w:t xml:space="preserve">System Design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333333"/>
          <w:sz w:val="21"/>
          <w:szCs w:val="21"/>
        </w:rPr>
        <w:t xml:space="preserve">Tech Stack and Scaling Roadmap · July 2026</w:t>
      </w:r>
    </w:p>
    <w:p>
      <w:pPr>
        <w:spacing w:before="480"/>
        <w:jc w:val="center"/>
      </w:pPr>
      <w:r>
        <w:rPr>
          <w:rFonts w:ascii="Georgia" w:cs="Georgia" w:eastAsia="Georgia" w:hAnsi="Georgia"/>
          <w:color w:val="777777"/>
          <w:sz w:val="20"/>
          <w:szCs w:val="20"/>
        </w:rPr>
        <w:t xml:space="preserve">The reference picture of how SODA is built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 product of Equalpoint, Inc.</w:t>
      </w:r>
    </w:p>
    <w:p>
      <w:pPr>
        <w:spacing w:before="520"/>
        <w:jc w:val="center"/>
      </w:pPr>
      <w:r>
        <w:rPr>
          <w:rFonts w:ascii="Georgia" w:cs="Georgia" w:eastAsia="Georgia" w:hAnsi="Georgia"/>
          <w:color w:val="777777"/>
          <w:sz w:val="19"/>
          <w:szCs w:val="19"/>
        </w:rPr>
        <w:t xml:space="preserve">Cleveland, Ohio  ·  2026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SODA System Design, Tech Stack, and Scaling Roadmap</w:t>
      </w:r>
    </w:p>
    <w:p>
      <w:pPr>
        <w:spacing w:after="16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The reference picture of how SODA is built, written plainly. Companion docs: the audit of record (</w:t>
      </w:r>
      <w:r>
        <w:rPr>
          <w:rFonts w:ascii="Consolas" w:cs="Consolas" w:eastAsia="Consolas" w:hAnsi="Consolas"/>
          <w:b w:val="false"/>
          <w:bCs w:val="false"/>
          <w:i/>
          <w:iCs/>
          <w:color w:val="777777"/>
          <w:sz w:val="16"/>
          <w:szCs w:val="16"/>
        </w:rPr>
        <w:t xml:space="preserve">docs/audit-2026-07-15.md</w:t>
      </w: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), the security review (</w:t>
      </w:r>
      <w:r>
        <w:rPr>
          <w:rFonts w:ascii="Consolas" w:cs="Consolas" w:eastAsia="Consolas" w:hAnsi="Consolas"/>
          <w:b w:val="false"/>
          <w:bCs w:val="false"/>
          <w:i/>
          <w:iCs/>
          <w:color w:val="777777"/>
          <w:sz w:val="16"/>
          <w:szCs w:val="16"/>
        </w:rPr>
        <w:t xml:space="preserve">docs/security-audit-2026-07-14.md</w:t>
      </w: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), and the vault’s design corpus (</w:t>
      </w:r>
      <w:r>
        <w:rPr>
          <w:rFonts w:ascii="Consolas" w:cs="Consolas" w:eastAsia="Consolas" w:hAnsi="Consolas"/>
          <w:b w:val="false"/>
          <w:bCs w:val="false"/>
          <w:i/>
          <w:iCs/>
          <w:color w:val="777777"/>
          <w:sz w:val="16"/>
          <w:szCs w:val="16"/>
        </w:rPr>
        <w:t xml:space="preserve">SODA Brain/05 - Design/</w:t>
      </w: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).</w:t>
      </w:r>
    </w:p>
    <w:p>
      <w:pPr>
        <w:pBdr>
          <w:bottom w:val="single" w:color="3BD75C" w:sz="6" w:space="1"/>
        </w:pBdr>
        <w:spacing w:after="140" w:before="100"/>
      </w:pP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203229"/>
          <w:sz w:val="22"/>
          <w:szCs w:val="22"/>
        </w:rPr>
        <w:t xml:space="preserve">1. What SODA is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 mobile-first web app (a PWA, installable, no app store) for live networking events: guests scan a QR, build a card (who I am, what I offer, what I need), see the live room, get matched, connect consent-first, and leave with a recap. Hosts run the night from a cockpit; Equalpoint operators oversee everything from Master Ops.</w:t>
      </w:r>
    </w:p>
    <w:p>
      <w:r>
        <w:br w:type="page"/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203229"/>
          <w:sz w:val="22"/>
          <w:szCs w:val="22"/>
        </w:rPr>
        <w:t xml:space="preserve">2. The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100"/>
      </w:tblGrid>
      <w:tr>
        <w:trPr>
          <w:tblHeader/>
        </w:trPr>
        <w:tc>
          <w:tcPr>
            <w:tcW w:type="dxa" w:w="1300"/>
            <w:shd w:fill="20322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20322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we use</w:t>
            </w:r>
          </w:p>
        </w:tc>
        <w:tc>
          <w:tcPr>
            <w:tcW w:type="dxa" w:w="4100"/>
            <w:shd w:fill="20322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earns its place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Next.js 16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(App Router) +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React 19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+ TypeScript, Tailwind on a token system, Motion for animation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One codebase, server and client, deployed as static edge assets plus serverless functions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Hosting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Vercel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Push-to-deploy (roughly 2 min), global CDN, versioned instant rollback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Supabase Postgres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One relational source of truth; 33 tables,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row-level security on every one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Auth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Clerk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(attendee door: phone SMS, email, or Google) bridged to Supabase sessions; Supabase OTP for ops;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anonymous sign-in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for ephemeral rooms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Guests get a modern door; the database keeps ONE identity system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3229"/>
                <w:sz w:val="16"/>
                <w:szCs w:val="16"/>
              </w:rPr>
              <w:t xml:space="preserve">auth.uid()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Realtime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Supabase Realtime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, private, membership-authorized channels; presence + broadcast only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live room: who’s here, acts firing, moments landing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Resend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Recap emails (deliverability-screened)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Sentry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(errors, 10% traces, privacy-masked replays) + structured JSON logs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3229"/>
                <w:sz w:val="16"/>
                <w:szCs w:val="16"/>
              </w:rPr>
              <w:t xml:space="preserve">/api/health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(DB-probing) + in-app bug reports streaming to Ops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Know before the host does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Contracts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3229"/>
                <w:sz w:val="16"/>
                <w:szCs w:val="16"/>
              </w:rPr>
              <w:t xml:space="preserve">packages/contracts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Zod schemas as the wire format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Every API request and response validated both directions; one shared vocabulary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Testing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Vitest (250+ unit), Playwright e2e, CI (format, typecheck, build, test), local-Supabase proof scripts (sim wipe, ephemeral wipe)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Destructive paths are machine-proven before prod</w:t>
            </w:r>
          </w:p>
        </w:tc>
      </w:tr>
      <w:tr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Tooling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pnpm + turbo monorepo,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03229"/>
                <w:sz w:val="16"/>
                <w:szCs w:val="16"/>
              </w:rPr>
              <w:t xml:space="preserve">scripts/ship.sh</w:t>
            </w: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one-command gate-to-ship</w:t>
            </w:r>
          </w:p>
        </w:tc>
        <w:tc>
          <w:tcPr>
            <w:tcW w:type="dxa" w:w="4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 red gate cannot ship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3. How it fits together, the domains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Identity and doors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Four ways in, one identity system underneath: the Clerk door (bridged to a Supabase session via a fail-closed server exchange), the ops OTP door (operators table plus pre-gate), the anonymous door (ephemeral rooms, no account at all), and the key-card door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/k/CODE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capability-based, encrypted contact cards). All API authorization ultimately reduces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auth.uid()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plus RLS, or an explicitly gated service-role read.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event lifecycle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draft to live to closed, owner-driven, with scheduled times. Two per-event switches compose: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ephemeral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(anonymous entry, auto-wipe at close plus one hour, aggregates-only report)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card_labels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(what the card’s prompts ask, education, workforce, or custom templates).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The room runtime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Each phone opens ONE private realtime channel per event carrying presence (who’s here, open-to-talk) and act broadcasts (Drop, Chance, Nudge, host Moments). The trust model is strict: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broadcasts are untrusted bare pings; truth is always refetched through the caller’s own RLS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and since the scale pass, those refetches are trailing-coalesced so bursts cost one fetch per interval per phone. Late joiners reconcile against server act-lifecycle state.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Matching and recap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Cards carry chips ({category, context}); a pure matching engine computes pairwise matches, gaps, and top connectors. Live rooms compute fresh; closed events compute ONCE and cache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events.recap_cache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). The recap gives each guest their night plus a 48 hour reconnect window; celebration moments (milestones, night-so-far, the board, podium) ride the same data.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Connections and messaging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Consent-first throughout: request, then accept, enforced in the database, with blocks, freezes, warmth decay (nightly sweep), and post-event key-card exchange (AES-GCM ciphertext at rest, HMAC-fingerprint lookups).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Host and operator surfaces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Admin (per-event: room, survey, settings, moments, showcase config), the live cockpit, the projector display, the door kiosk, and Master Ops (board, hosts, reports, people, chips, operators, simulator, analytics) reading contentless telemetry only.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protection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RLS on all 33 tables; roughly 140 security-definer functions, each pinned and internally authorized; contentless telemetry (message counts, never bodies); the simulator and ephemeral wipes both machine-proven; PII minimization as the standing strategy.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4. Scaling, where we are and what comes next</w:t>
      </w:r>
    </w:p>
    <w:p>
      <w:pPr>
        <w:spacing w:after="120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Proven today: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rooms of roughly 50 on real nights.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Engineered headroom: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150 to 200 per room after the July 15 scale pass (coalesced fan-outs, compute-once recap, chat-poll fix, hot indexes).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Tier 1, before or at the first 200+ room (days of work, no architecture change)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Load-test a synthetic 200-guest room (the Simulator plus a script) and watch Supabase Realtime message and connection quotas, the realtime plan tier is the first real ceiling to bump.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Virtualize the room roster list; paginate the Drop wall render.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Precompute the recap cache at close (event-driven) instead of first-request.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Move remaining hot reads off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getUser()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round-trips where RLS already gates.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Tier 2, hundreds of rooms, thousands of users (weeks, still no rewrite)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Supabase compute upgrade plus connection pooling review (already HTTP-stateless, which is the right shape for serverless).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Data hygiene jobs: purge old notifications and login-attempts in the nightly sweep.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Log drain to a searchable store; end-to-end suite in CI; Doppler (or equivalent) for secret management plus the rotation runbook.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Embeddings matching (pgvector)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the designed upgrade path for smarter matching beyond category and synonym rules (plan already in the backlog).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Tier 3, product-scale bets (only when demand proves them)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Native apps via Expo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the codebase is deliberately kept native-ready; the backend needs zero changes.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Realtime channel sharding or a regional strategy if single-event size passes roughly 500.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Eventbrite or registration integrations to collapse the door stack at partner events.</w:t>
      </w:r>
    </w:p>
    <w:p>
      <w:pPr>
        <w:pBdr>
          <w:left w:val="single" w:color="3BD75C" w:sz="18" w:space="14"/>
        </w:pBdr>
        <w:spacing w:after="150" w:before="100"/>
        <w:ind w:left="24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What we deliberately do NOT need (asked and answered): microservices, Kubernetes, Redis, a separate Postgres host (Neon, we’d lose auth, realtime, and RLS for zero speed), or device-local databases (PGlite, wrong shape for a shared live room, and against our privacy posture). SODA’s costs are request-shape problems, and we fix them at the shape.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5. Where everything lives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Code: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github.com/brent-Equalpoint (this repo),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apps/web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(app),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packages/contracts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(wire schemas),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supabase/migrations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(the entire schema as history),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scripts/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(proofs and ship),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03229"/>
          <w:sz w:val="18"/>
          <w:szCs w:val="18"/>
        </w:rPr>
        <w:t xml:space="preserve">docs/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(audits, worklogs, this file).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Design and decisions: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the SODA Brain vault (specs, ADRs, backlog, pilot and event reports), its own private repo.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Dashboards: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Vercel (deploys, env, rollback), Supabase (database, auth, realtime), Clerk (the door), Sentry (errors), Resend (email).</w:t>
      </w:r>
    </w:p>
    <w:sectPr>
      <w:headerReference w:type="default" r:id="rId7"/>
      <w:footerReference w:type="default" r:id="rId8"/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SODA System Design ·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5"/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300"/>
      <w:outlineLvl w:val="0"/>
    </w:pPr>
    <w:rPr>
      <w:rFonts w:ascii="Arial" w:cs="Arial" w:eastAsia="Arial" w:hAnsi="Arial"/>
      <w:b/>
      <w:bCs/>
      <w:color w:val="14210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0322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5" w:before="190"/>
      <w:outlineLvl w:val="2"/>
    </w:pPr>
    <w:rPr>
      <w:rFonts w:ascii="Arial" w:cs="Arial" w:eastAsia="Arial" w:hAnsi="Arial"/>
      <w:b/>
      <w:bCs/>
      <w:color w:val="1a1a1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2026-07-16T16:08:57.953Z</dcterms:created>
  <dcterms:modified xsi:type="dcterms:W3CDTF">2026-07-16T16:08:57.967Z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