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1900"/>
        <w:jc w:val="center"/>
      </w:pPr>
      <w:r>
        <w:rPr>
          <w:rFonts w:ascii="Arial" w:cs="Arial" w:eastAsia="Arial" w:hAnsi="Arial"/>
          <w:b/>
          <w:bCs/>
          <w:color w:val="14210B"/>
          <w:sz w:val="80"/>
          <w:szCs w:val="80"/>
        </w:rPr>
        <w:t xml:space="preserve">SODA</w:t>
      </w:r>
    </w:p>
    <w:p>
      <w:pPr>
        <w:pBdr>
          <w:bottom w:val="single" w:color="3BD75C" w:sz="8" w:space="8"/>
        </w:pBdr>
        <w:spacing w:after="24"/>
        <w:jc w:val="center"/>
      </w:pPr>
      <w:r>
        <w:rPr>
          <w:rFonts w:ascii="Arial" w:cs="Arial" w:eastAsia="Arial" w:hAnsi="Arial"/>
          <w:b/>
          <w:bCs/>
          <w:color w:val="203229"/>
          <w:sz w:val="23"/>
          <w:szCs w:val="23"/>
        </w:rPr>
        <w:t xml:space="preserve">Event Report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333333"/>
          <w:sz w:val="21"/>
          <w:szCs w:val="21"/>
        </w:rPr>
        <w:t xml:space="preserve">Coffee Connect · June 17, 2026</w:t>
      </w:r>
    </w:p>
    <w:p>
      <w:pPr>
        <w:spacing w:before="480"/>
        <w:jc w:val="center"/>
      </w:pPr>
      <w:r>
        <w:rPr>
          <w:rFonts w:ascii="Georgia" w:cs="Georgia" w:eastAsia="Georgia" w:hAnsi="Georgia"/>
          <w:color w:val="777777"/>
          <w:sz w:val="20"/>
          <w:szCs w:val="20"/>
        </w:rPr>
        <w:t xml:space="preserve">Partner-facing summary of SODA's first live run</w:t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 product of Equalpoint, Inc.</w:t>
      </w:r>
    </w:p>
    <w:p>
      <w:pPr>
        <w:spacing w:before="520"/>
        <w:jc w:val="center"/>
      </w:pPr>
      <w:r>
        <w:rPr>
          <w:rFonts w:ascii="Georgia" w:cs="Georgia" w:eastAsia="Georgia" w:hAnsi="Georgia"/>
          <w:color w:val="777777"/>
          <w:sz w:val="19"/>
          <w:szCs w:val="19"/>
        </w:rPr>
        <w:t xml:space="preserve">Cleveland, Ohio  ·  2026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SODA Event Report: Coffee Connect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203229"/>
          <w:sz w:val="21"/>
          <w:szCs w:val="21"/>
        </w:rPr>
        <w:t xml:space="preserve">Date.  </w:t>
      </w:r>
      <w:r>
        <w:rPr>
          <w:rFonts w:ascii="Georgia" w:cs="Georgia" w:eastAsia="Georgia" w:hAnsi="Georgia"/>
          <w:color w:val="333333"/>
          <w:sz w:val="21"/>
          <w:szCs w:val="21"/>
        </w:rPr>
        <w:t xml:space="preserve">June 17, 2026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203229"/>
          <w:sz w:val="21"/>
          <w:szCs w:val="21"/>
        </w:rPr>
        <w:t xml:space="preserve">Host.  </w:t>
      </w:r>
      <w:r>
        <w:rPr>
          <w:rFonts w:ascii="Georgia" w:cs="Georgia" w:eastAsia="Georgia" w:hAnsi="Georgia"/>
          <w:color w:val="333333"/>
          <w:sz w:val="21"/>
          <w:szCs w:val="21"/>
        </w:rPr>
        <w:t xml:space="preserve">Futureland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203229"/>
          <w:sz w:val="21"/>
          <w:szCs w:val="21"/>
        </w:rPr>
        <w:t xml:space="preserve">Where.  </w:t>
      </w:r>
      <w:r>
        <w:rPr>
          <w:rFonts w:ascii="Georgia" w:cs="Georgia" w:eastAsia="Georgia" w:hAnsi="Georgia"/>
          <w:color w:val="333333"/>
          <w:sz w:val="21"/>
          <w:szCs w:val="21"/>
        </w:rPr>
        <w:t xml:space="preserve">Coffee Connect, Cleveland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203229"/>
          <w:sz w:val="21"/>
          <w:szCs w:val="21"/>
        </w:rPr>
        <w:t xml:space="preserve">Attendees.  </w:t>
      </w:r>
      <w:r>
        <w:rPr>
          <w:rFonts w:ascii="Georgia" w:cs="Georgia" w:eastAsia="Georgia" w:hAnsi="Georgia"/>
          <w:color w:val="333333"/>
          <w:sz w:val="21"/>
          <w:szCs w:val="21"/>
        </w:rPr>
        <w:t xml:space="preserve">19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203229"/>
          <w:sz w:val="21"/>
          <w:szCs w:val="21"/>
        </w:rPr>
        <w:t xml:space="preserve">Status.  </w:t>
      </w:r>
      <w:r>
        <w:rPr>
          <w:rFonts w:ascii="Georgia" w:cs="Georgia" w:eastAsia="Georgia" w:hAnsi="Georgia"/>
          <w:color w:val="333333"/>
          <w:sz w:val="21"/>
          <w:szCs w:val="21"/>
        </w:rPr>
        <w:t xml:space="preserve">Soft pilot complete, engine validated with real people (acts not fired live).</w:t>
      </w:r>
    </w:p>
    <w:p>
      <w:pPr>
        <w:spacing w:after="140"/>
      </w:pP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(Full engineering detail lives in the companion pilot report.)</w:t>
      </w:r>
    </w:p>
    <w:p>
      <w:pPr>
        <w:pBdr>
          <w:bottom w:val="single" w:color="3BD75C" w:sz="6" w:space="1"/>
        </w:pBdr>
        <w:spacing w:after="140" w:before="100"/>
      </w:pP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203229"/>
          <w:sz w:val="22"/>
          <w:szCs w:val="22"/>
        </w:rPr>
        <w:t xml:space="preserve">TL;DR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SODA's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first live run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and the matching engine proved itself: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145 matches computed live, 62 mutual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a clear top connector, and a "Most Wanted" gap analysis the host found genuinely useful. The room works. The pilot surfaced a confusing sign-in and chips too generic to match well, both since addressed.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203229"/>
          <w:sz w:val="22"/>
          <w:szCs w:val="22"/>
        </w:rPr>
        <w:t xml:space="preserve">What worked (validated with real people)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Check-in via QR and room entry.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Live presence and attendee list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19 people captured in real time.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Offers and Needs chips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in the room.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The Intel and matching engine, the standout: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145 matches, 62 mutual, top connector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Lorena Medina (18 matches)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average overlap computed, and a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"Most Wanted" gap analysis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that flagged the room’s real unmet needs: </w:t>
      </w: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1"/>
          <w:szCs w:val="21"/>
        </w:rPr>
        <w:t xml:space="preserve">Looking for Work (5 need, 0 offer)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and </w:t>
      </w: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1"/>
          <w:szCs w:val="21"/>
        </w:rPr>
        <w:t xml:space="preserve">Funding (4 need, 0 offer)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. That is intelligence no name tag could produce, from a 19-person room.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CSV export, nudges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(mechanically),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survey, room controls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(Announce, Ops, Admin),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End the Night.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Acts confirmed functional (just not fired live).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What broke, what we learned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1. Sign-in double-email loop (P1)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New users got two emails, a confirmation and the code, and the confirmation link restarted onboarding, which read as "start over." Root cause: Supabase "Confirm email" was on alongside the sign-in-code flow.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2. Chips too vague to match well (P1)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14 of 19 offered "Collaboration"; 10 of 19 needed "Introductions." When the most common chips are the most generic, the match list is long but low-signal. (The Most Wanted section worked because those chips were specific.)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3. No room snapshot at close (P2)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"End the Night" made the analytics vanish (CSV only), the host lost the visual summary at the exact moment they most want it.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4. Nudge quality is downstream of chip quality (P2)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Vague chips produce vague nudges; the mechanism is sound, the input was the problem.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What we shipped in response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Specific chips, "category] in context]"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(e.g. "Mentorship in design"). Chips became {category, context}; matching still keys on category (the proven engine unchanged), and context enriches the room, the nudges, the drafts, and the CSV. </w:t>
      </w: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1"/>
          <w:szCs w:val="21"/>
        </w:rPr>
        <w:t xml:space="preserve">(shipped 2026-06-19)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Closed-event Recap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a frozen post-night summary (Intel, Most Wanted, top matches, and a feed-history timeline), reachable from the Manage "Recap" tab and the Analytics page. </w:t>
      </w: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1"/>
          <w:szCs w:val="21"/>
        </w:rPr>
        <w:t xml:space="preserve">(shipped 2026-06-19)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Sign-in double-email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diagnosed to a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Supabase dashboard toggle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(turn off "Confirm email"; the OTP code is the confirmation). </w:t>
      </w: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1"/>
          <w:szCs w:val="21"/>
        </w:rPr>
        <w:t xml:space="preserve">(your dashboard action, pending)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Clerk for the front door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proposed, then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deferred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: it would rewrite roughly 40 security rules for a UX concern; revisit only as its own initiative.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House rule set: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no em dashes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in copy or code.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The takeaway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engine is real, actionable, room-level intelligence on the very first live run. The fixes weren't architecture changes; they were a config correction, a data-model improvement (specific chips), and a post-event surface (the recap).</w:t>
      </w:r>
    </w:p>
    <w:p>
      <w:pPr>
        <w:spacing w:after="140"/>
        <w:jc w:val="both"/>
      </w:pPr>
      <w:r>
        <w:rPr>
          <w:rFonts w:ascii="Georgia" w:cs="Georgia" w:eastAsia="Georgia" w:hAnsi="Georgia"/>
          <w:i/>
          <w:iCs/>
          <w:color w:val="1a1a1a"/>
          <w:sz w:val="22"/>
          <w:szCs w:val="22"/>
        </w:rPr>
        <w:t xml:space="preserve">A name tag knows you showed up. SODA knows who you became to the room. Coffee Connect proved the room.</w:t>
      </w:r>
    </w:p>
    <w:sectPr>
      <w:headerReference w:type="default" r:id="rId7"/>
      <w:footerReference w:type="default" r:id="rId8"/>
      <w:pgSz w:w="12240" w:h="15840" w:orient="portrait"/>
      <w:pgMar w:top="1440" w:right="162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rFonts w:ascii="Arial" w:cs="Arial" w:eastAsia="Arial" w:hAnsi="Arial"/>
        <w:color w:val="AAAAAA"/>
        <w:sz w:val="15"/>
        <w:szCs w:val="15"/>
      </w:rPr>
      <w:t xml:space="preserve">SODA Event Report · Coffee Connect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5"/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300"/>
      <w:outlineLvl w:val="0"/>
    </w:pPr>
    <w:rPr>
      <w:rFonts w:ascii="Arial" w:cs="Arial" w:eastAsia="Arial" w:hAnsi="Arial"/>
      <w:b/>
      <w:bCs/>
      <w:color w:val="14210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0322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55" w:before="190"/>
      <w:outlineLvl w:val="2"/>
    </w:pPr>
    <w:rPr>
      <w:rFonts w:ascii="Arial" w:cs="Arial" w:eastAsia="Arial" w:hAnsi="Arial"/>
      <w:b/>
      <w:bCs/>
      <w:color w:val="1a1a1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2026-07-16T15:54:51.640Z</dcterms:created>
  <dcterms:modified xsi:type="dcterms:W3CDTF">2026-07-16T15:54:51.640Z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