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35.png" ContentType="image/png"/>
  <Override PartName="/word/media/rId69.png" ContentType="image/png"/>
  <Override PartName="/word/media/rId36.png" ContentType="image/png"/>
  <Override PartName="/word/media/rId45.png" ContentType="image/png"/>
  <Override PartName="/word/media/rId67.png" ContentType="image/png"/>
  <Override PartName="/word/media/rId68.png" ContentType="image/png"/>
  <Override PartName="/word/media/rId29.png" ContentType="image/png"/>
  <Override PartName="/word/media/rId44.png" ContentType="image/png"/>
  <Override PartName="/word/media/rId50.png" ContentType="image/png"/>
  <Override PartName="/word/media/rId62.png" ContentType="image/png"/>
  <Override PartName="/word/media/rId64.png" ContentType="image/png"/>
  <Override PartName="/word/media/rId65.png" ContentType="image/png"/>
  <Override PartName="/word/media/rId66.png" ContentType="image/png"/>
  <Override PartName="/word/media/rId25.png" ContentType="image/png"/>
  <Override PartName="/word/media/rId80.png" ContentType="image/png"/>
  <Override PartName="/word/media/rId70.png" ContentType="image/png"/>
  <Override PartName="/word/media/rId42.png" ContentType="image/png"/>
  <Override PartName="/word/media/rId32.png" ContentType="image/png"/>
  <Override PartName="/word/media/rId30.png" ContentType="image/png"/>
  <Override PartName="/word/media/rId31.png" ContentType="image/png"/>
  <Override PartName="/word/media/rId41.png" ContentType="image/png"/>
  <Override PartName="/word/media/rId40.png" ContentType="image/png"/>
  <Override PartName="/word/media/rId21.png" ContentType="image/png"/>
  <Override PartName="/word/media/rId20.png" ContentType="image/png"/>
  <Override PartName="/word/media/image1.png" ContentType="image/png"/>
  <Override PartName="/word/media/image3.gif" ContentType="image/gif"/>
  <Override PartName="/word/media/image2.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Snow</w:t>
      </w:r>
      <w:r>
        <w:t xml:space="preserve"> </w:t>
      </w:r>
      <w:r>
        <w:t xml:space="preserve">crab</w:t>
      </w:r>
      <w:r>
        <w:t xml:space="preserve"> </w:t>
      </w:r>
      <w:r>
        <w:t xml:space="preserve">assessment</w:t>
      </w:r>
    </w:p>
    <w:p>
      <w:pPr>
        <w:pStyle w:val="Author"/>
      </w:pPr>
      <w:r>
        <w:t xml:space="preserve">Snow</w:t>
      </w:r>
      <w:r>
        <w:t xml:space="preserve"> </w:t>
      </w:r>
      <w:r>
        <w:t xml:space="preserve">crab</w:t>
      </w:r>
      <w:r>
        <w:t xml:space="preserve"> </w:t>
      </w:r>
      <w:r>
        <w:t xml:space="preserve">group</w:t>
      </w:r>
    </w:p>
    <w:p>
      <w:pPr>
        <w:pStyle w:val="Date"/>
      </w:pPr>
      <w:r>
        <w:t xml:space="preserve">Last</w:t>
      </w:r>
      <w:r>
        <w:t xml:space="preserve"> </w:t>
      </w:r>
      <w:r>
        <w:t xml:space="preserve">compiled</w:t>
      </w:r>
      <w:r>
        <w:t xml:space="preserve"> </w:t>
      </w:r>
      <w:r>
        <w:t xml:space="preserve">on</w:t>
      </w:r>
      <w:r>
        <w:t xml:space="preserve"> </w:t>
      </w:r>
      <w:r>
        <w:t xml:space="preserve">19</w:t>
      </w:r>
      <w:r>
        <w:t xml:space="preserve"> </w:t>
      </w:r>
      <w:r>
        <w:t xml:space="preserve">January,</w:t>
      </w:r>
      <w:r>
        <w:t xml:space="preserve"> </w:t>
      </w:r>
      <w:r>
        <w:t xml:space="preserve">2022</w:t>
      </w:r>
    </w:p>
    <w:bookmarkStart w:id="83" w:name="assessment-of-scotian-shelf-snow-crab"/>
    <w:p>
      <w:pPr>
        <w:pStyle w:val="Heading1"/>
      </w:pPr>
      <w:r>
        <w:t xml:space="preserve">ASSESSMENT OF Scotian Shelf Snow Crab</w:t>
      </w:r>
    </w:p>
    <w:tbl>
      <w:tblPr>
        <w:tblStyle w:val="Table"/>
        <w:tblW w:type="pct" w:w="4931"/>
        <w:tblLook w:firstRow="1" w:lastRow="0" w:firstColumn="0" w:lastColumn="0" w:noHBand="0" w:noVBand="0" w:val="0020"/>
      </w:tblPr>
      <w:tblGrid>
        <w:gridCol w:w="3850"/>
        <w:gridCol w:w="3960"/>
      </w:tblGrid>
      <w:tr>
        <w:trPr>
          <w:tblHeader w:val="true"/>
        </w:trPr>
        <w:tc>
          <w:tcPr/>
          <w:p>
            <w:pPr>
              <w:jc w:val="left"/>
            </w:pPr>
            <w:r>
              <w:drawing>
                <wp:inline>
                  <wp:extent cx="5943600" cy="3202880"/>
                  <wp:effectExtent b="0" l="0" r="0" t="0"/>
                  <wp:docPr descr="Image: Snow Crab" title="" id="1" name="Picture"/>
                  <a:graphic>
                    <a:graphicData uri="http://schemas.openxmlformats.org/drawingml/2006/picture">
                      <pic:pic>
                        <pic:nvPicPr>
                          <pic:cNvPr descr="media/snowcrab_image.png" id="0" name="Picture"/>
                          <pic:cNvPicPr>
                            <a:picLocks noChangeArrowheads="1" noChangeAspect="1"/>
                          </pic:cNvPicPr>
                        </pic:nvPicPr>
                        <pic:blipFill>
                          <a:blip r:embed="rId20"/>
                          <a:stretch>
                            <a:fillRect/>
                          </a:stretch>
                        </pic:blipFill>
                        <pic:spPr bwMode="auto">
                          <a:xfrm>
                            <a:off x="0" y="0"/>
                            <a:ext cx="5943600" cy="3202880"/>
                          </a:xfrm>
                          <a:prstGeom prst="rect">
                            <a:avLst/>
                          </a:prstGeom>
                          <a:noFill/>
                          <a:ln w="9525">
                            <a:noFill/>
                            <a:headEnd/>
                            <a:tailEnd/>
                          </a:ln>
                        </pic:spPr>
                      </pic:pic>
                    </a:graphicData>
                  </a:graphic>
                </wp:inline>
              </w:drawing>
            </w:r>
            <w:r>
              <w:t xml:space="preserve">|{w</w:t>
            </w:r>
            <w:r>
              <w:t xml:space="preserve"> </w:t>
            </w:r>
            <w:r>
              <w:t xml:space="preserve">{width=</w:t>
            </w:r>
            <w:r>
              <w:t xml:space="preserve">“</w:t>
            </w:r>
            <w:r>
              <w:t xml:space="preserve">2.8802088801399823in</w:t>
            </w:r>
            <w:r>
              <w:t xml:space="preserve">”</w:t>
            </w:r>
            <w:r>
              <w:t xml:space="preserve"> </w:t>
            </w:r>
            <w:r>
              <w:t xml:space="preserve">| he</w:t>
            </w:r>
            <w:r>
              <w:t xml:space="preserve"> </w:t>
            </w:r>
            <w:r>
              <w:t xml:space="preserve">height=</w:t>
            </w:r>
            <w:r>
              <w:t xml:space="preserve">“</w:t>
            </w:r>
            <w:r>
              <w:t xml:space="preserve">1.5540682414698164in</w:t>
            </w:r>
            <w:r>
              <w:t xml:space="preserve">”</w:t>
            </w:r>
            <w:r>
              <w:t xml:space="preserve">}</w:t>
            </w:r>
          </w:p>
          <w:p>
            <w:pPr>
              <w:pStyle w:val="Compact"/>
              <w:jc w:val="left"/>
            </w:pPr>
            <w:r>
              <w:t xml:space="preserve">Snow Crab (Chionoecetes opilio,</w:t>
            </w:r>
            <w:r>
              <w:t xml:space="preserve"> </w:t>
            </w:r>
            <w:r>
              <w:t xml:space="preserve">O. Fabricius)</w:t>
            </w:r>
          </w:p>
        </w:tc>
        <w:tc>
          <w:tcPr/>
          <w:p>
            <w:pPr>
              <w:jc w:val="left"/>
            </w:pPr>
            <w:r>
              <w:drawing>
                <wp:inline>
                  <wp:extent cx="5943600" cy="4593961"/>
                  <wp:effectExtent b="0" l="0" r="0" t="0"/>
                  <wp:docPr descr="" title="" id="1" name="Picture"/>
                  <a:graphic>
                    <a:graphicData uri="http://schemas.openxmlformats.org/drawingml/2006/picture">
                      <pic:pic>
                        <pic:nvPicPr>
                          <pic:cNvPr descr="media/snowcrab_cfas.png" id="0" name="Picture"/>
                          <pic:cNvPicPr>
                            <a:picLocks noChangeArrowheads="1" noChangeAspect="1"/>
                          </pic:cNvPicPr>
                        </pic:nvPicPr>
                        <pic:blipFill>
                          <a:blip r:embed="rId21"/>
                          <a:stretch>
                            <a:fillRect/>
                          </a:stretch>
                        </pic:blipFill>
                        <pic:spPr bwMode="auto">
                          <a:xfrm>
                            <a:off x="0" y="0"/>
                            <a:ext cx="5943600" cy="4593961"/>
                          </a:xfrm>
                          <a:prstGeom prst="rect">
                            <a:avLst/>
                          </a:prstGeom>
                          <a:noFill/>
                          <a:ln w="9525">
                            <a:noFill/>
                            <a:headEnd/>
                            <a:tailEnd/>
                          </a:ln>
                        </pic:spPr>
                      </pic:pic>
                    </a:graphicData>
                  </a:graphic>
                </wp:inline>
              </w:drawing>
            </w:r>
            <w:r>
              <w:t xml:space="preserve"> </w:t>
            </w:r>
            <w:r>
              <w:t xml:space="preserve">idth=</w:t>
            </w:r>
            <w:r>
              <w:t xml:space="preserve">“</w:t>
            </w:r>
            <w:r>
              <w:t xml:space="preserve">3.120833333333333in</w:t>
            </w:r>
            <w:r>
              <w:t xml:space="preserve">”</w:t>
            </w:r>
            <w:r>
              <w:t xml:space="preserve"> </w:t>
            </w:r>
            <w:r>
              <w:t xml:space="preserve">ight=</w:t>
            </w:r>
            <w:r>
              <w:t xml:space="preserve">“</w:t>
            </w:r>
            <w:r>
              <w:t xml:space="preserve">2.4118055555555555in</w:t>
            </w:r>
            <w:r>
              <w:t xml:space="preserve">”</w:t>
            </w:r>
            <w:r>
              <w:t xml:space="preserve">}</w:t>
            </w:r>
          </w:p>
          <w:p>
            <w:pPr>
              <w:pStyle w:val="Compact"/>
              <w:jc w:val="left"/>
            </w:pPr>
            <w:r>
              <w:t xml:space="preserve">Figure 1. Map of the Scotian</w:t>
            </w:r>
            <w:r>
              <w:t xml:space="preserve"> </w:t>
            </w:r>
            <w:r>
              <w:t xml:space="preserve">Shelf and Crab Fishing Areas</w:t>
            </w:r>
            <w:r>
              <w:t xml:space="preserve"> </w:t>
            </w:r>
            <w:r>
              <w:t xml:space="preserve">(CFAs). Original figure in</w:t>
            </w:r>
            <w:r>
              <w:t xml:space="preserve"> </w:t>
            </w:r>
            <w:r>
              <w:t xml:space="preserve">colour.</w:t>
            </w:r>
          </w:p>
        </w:tc>
      </w:tr>
      <w:tr>
        <w:tc>
          <w:tcPr/>
          <w:p>
            <w:pPr>
              <w:jc w:val="left"/>
            </w:pPr>
            <w:r>
              <w:t xml:space="preserve">Context:</w:t>
            </w:r>
          </w:p>
          <w:p>
            <w:pPr>
              <w:jc w:val="left"/>
            </w:pPr>
            <w:r>
              <w:t xml:space="preserve">Snow Crab (Chionoecetes opilio,</w:t>
            </w:r>
            <w:r>
              <w:t xml:space="preserve"> </w:t>
            </w:r>
            <w:r>
              <w:t xml:space="preserve">O. Fabricius) have been a</w:t>
            </w:r>
            <w:r>
              <w:t xml:space="preserve"> </w:t>
            </w:r>
            <w:r>
              <w:t xml:space="preserve">dominant macro-invertebrate in</w:t>
            </w:r>
            <w:r>
              <w:t xml:space="preserve"> </w:t>
            </w:r>
            <w:r>
              <w:t xml:space="preserve">the Scotian Shelf Ecosystem</w:t>
            </w:r>
            <w:r>
              <w:t xml:space="preserve"> </w:t>
            </w:r>
            <w:r>
              <w:t xml:space="preserve">(SSE) since the decline of the</w:t>
            </w:r>
            <w:r>
              <w:t xml:space="preserve"> </w:t>
            </w:r>
            <w:r>
              <w:t xml:space="preserve">groundfish. They are observed in</w:t>
            </w:r>
            <w:r>
              <w:t xml:space="preserve"> </w:t>
            </w:r>
            <w:r>
              <w:t xml:space="preserve">large numbers in deep,</w:t>
            </w:r>
            <w:r>
              <w:t xml:space="preserve"> </w:t>
            </w:r>
            <w:r>
              <w:t xml:space="preserve">soft-bottom substrates ranging</w:t>
            </w:r>
            <w:r>
              <w:t xml:space="preserve"> </w:t>
            </w:r>
            <w:r>
              <w:t xml:space="preserve">from 60 to 280 m and at</w:t>
            </w:r>
            <w:r>
              <w:t xml:space="preserve"> </w:t>
            </w:r>
            <w:r>
              <w:t xml:space="preserve">temperatures generally less than</w:t>
            </w:r>
            <w:r>
              <w:t xml:space="preserve"> </w:t>
            </w:r>
            <w:r>
              <w:t xml:space="preserve">6°C. The SSE Snow Crab are in</w:t>
            </w:r>
            <w:r>
              <w:t xml:space="preserve"> </w:t>
            </w:r>
            <w:r>
              <w:t xml:space="preserve">the southern-most extreme of</w:t>
            </w:r>
            <w:r>
              <w:t xml:space="preserve"> </w:t>
            </w:r>
            <w:r>
              <w:t xml:space="preserve">their spatial distribution in</w:t>
            </w:r>
            <w:r>
              <w:t xml:space="preserve"> </w:t>
            </w:r>
            <w:r>
              <w:t xml:space="preserve">the Northwest Atlantic.</w:t>
            </w:r>
          </w:p>
          <w:p>
            <w:pPr>
              <w:jc w:val="left"/>
            </w:pPr>
            <w:r>
              <w:t xml:space="preserve">The fishery has been in</w:t>
            </w:r>
            <w:r>
              <w:t xml:space="preserve"> </w:t>
            </w:r>
            <w:r>
              <w:t xml:space="preserve">existence since the early 1970s</w:t>
            </w:r>
            <w:r>
              <w:t xml:space="preserve"> </w:t>
            </w:r>
            <w:r>
              <w:t xml:space="preserve">in Nova Scotia. The management</w:t>
            </w:r>
            <w:r>
              <w:t xml:space="preserve"> </w:t>
            </w:r>
            <w:r>
              <w:t xml:space="preserve">of the Snow Crab fisheries in</w:t>
            </w:r>
            <w:r>
              <w:t xml:space="preserve"> </w:t>
            </w:r>
            <w:r>
              <w:t xml:space="preserve">the SSE was initially based on</w:t>
            </w:r>
            <w:r>
              <w:t xml:space="preserve"> </w:t>
            </w:r>
            <w:r>
              <w:t xml:space="preserve">effort controls (season,</w:t>
            </w:r>
            <w:r>
              <w:t xml:space="preserve"> </w:t>
            </w:r>
            <w:r>
              <w:t xml:space="preserve">license, trap limits) from 1982</w:t>
            </w:r>
            <w:r>
              <w:t xml:space="preserve"> </w:t>
            </w:r>
            <w:r>
              <w:t xml:space="preserve">to 1993 with harvesting during</w:t>
            </w:r>
            <w:r>
              <w:t xml:space="preserve"> </w:t>
            </w:r>
            <w:r>
              <w:t xml:space="preserve">June-November of hard-shelled</w:t>
            </w:r>
            <w:r>
              <w:t xml:space="preserve"> </w:t>
            </w:r>
            <w:r>
              <w:t xml:space="preserve">males larger than 95 mm Carapace</w:t>
            </w:r>
            <w:r>
              <w:t xml:space="preserve"> </w:t>
            </w:r>
            <w:r>
              <w:t xml:space="preserve">Width. Additional management</w:t>
            </w:r>
            <w:r>
              <w:t xml:space="preserve"> </w:t>
            </w:r>
            <w:r>
              <w:t xml:space="preserve">measures were introduced from</w:t>
            </w:r>
            <w:r>
              <w:t xml:space="preserve"> </w:t>
            </w:r>
            <w:r>
              <w:t xml:space="preserve">1994 to 1999: individual boat</w:t>
            </w:r>
            <w:r>
              <w:t xml:space="preserve"> </w:t>
            </w:r>
            <w:r>
              <w:t xml:space="preserve">quotas, Total Allowable Catches</w:t>
            </w:r>
            <w:r>
              <w:t xml:space="preserve"> </w:t>
            </w:r>
            <w:r>
              <w:t xml:space="preserve">(TACs), 100% dockside</w:t>
            </w:r>
            <w:r>
              <w:t xml:space="preserve"> </w:t>
            </w:r>
            <w:r>
              <w:t xml:space="preserve">monitoring, mandatory logbooks</w:t>
            </w:r>
            <w:r>
              <w:t xml:space="preserve"> </w:t>
            </w:r>
            <w:r>
              <w:t xml:space="preserve">and at-sea monitoring by</w:t>
            </w:r>
            <w:r>
              <w:t xml:space="preserve"> </w:t>
            </w:r>
            <w:r>
              <w:t xml:space="preserve">certified observers. In 2005,</w:t>
            </w:r>
            <w:r>
              <w:t xml:space="preserve"> </w:t>
            </w:r>
            <w:r>
              <w:t xml:space="preserve">many Crab Fishing Areas (CFAs)</w:t>
            </w:r>
            <w:r>
              <w:t xml:space="preserve"> </w:t>
            </w:r>
            <w:r>
              <w:t xml:space="preserve">and subareas were merged with</w:t>
            </w:r>
            <w:r>
              <w:t xml:space="preserve"> </w:t>
            </w:r>
            <w:r>
              <w:t xml:space="preserve">the resulting divisions being</w:t>
            </w:r>
            <w:r>
              <w:t xml:space="preserve"> </w:t>
            </w:r>
            <w:r>
              <w:t xml:space="preserve">North-Eastern Nova Scotia</w:t>
            </w:r>
            <w:r>
              <w:t xml:space="preserve"> </w:t>
            </w:r>
            <w:r>
              <w:t xml:space="preserve">(N-ENS) (CFAs 20-22),</w:t>
            </w:r>
            <w:r>
              <w:t xml:space="preserve"> </w:t>
            </w:r>
            <w:r>
              <w:t xml:space="preserve">South-Eastern Nova Scotia</w:t>
            </w:r>
            <w:r>
              <w:t xml:space="preserve"> </w:t>
            </w:r>
            <w:r>
              <w:t xml:space="preserve">(S-ENS) (CFAs 23, 24), and 4X</w:t>
            </w:r>
            <w:r>
              <w:t xml:space="preserve"> </w:t>
            </w:r>
            <w:r>
              <w:t xml:space="preserve">(Figure 1). Spring fishing</w:t>
            </w:r>
            <w:r>
              <w:t xml:space="preserve"> </w:t>
            </w:r>
            <w:r>
              <w:t xml:space="preserve">efforts in N-ENS and S-ENS now</w:t>
            </w:r>
            <w:r>
              <w:t xml:space="preserve"> </w:t>
            </w:r>
            <w:r>
              <w:t xml:space="preserve">represent a large portion of</w:t>
            </w:r>
            <w:r>
              <w:t xml:space="preserve"> </w:t>
            </w:r>
            <w:r>
              <w:t xml:space="preserve">overall landings.</w:t>
            </w:r>
          </w:p>
          <w:p>
            <w:pPr>
              <w:jc w:val="left"/>
            </w:pPr>
            <w:r>
              <w:t xml:space="preserve">In support of the fishery,</w:t>
            </w:r>
            <w:r>
              <w:t xml:space="preserve"> </w:t>
            </w:r>
            <w:r>
              <w:t xml:space="preserve">Fisheries and Oceans Canada</w:t>
            </w:r>
            <w:r>
              <w:t xml:space="preserve"> </w:t>
            </w:r>
            <w:r>
              <w:t xml:space="preserve">(DFO) Maritimes Fisheries</w:t>
            </w:r>
            <w:r>
              <w:t xml:space="preserve"> </w:t>
            </w:r>
            <w:r>
              <w:t xml:space="preserve">Management requests from DFO</w:t>
            </w:r>
            <w:r>
              <w:t xml:space="preserve"> </w:t>
            </w:r>
            <w:r>
              <w:t xml:space="preserve">Science an annual assessment of</w:t>
            </w:r>
            <w:r>
              <w:t xml:space="preserve"> </w:t>
            </w:r>
            <w:r>
              <w:t xml:space="preserve">resource status. An assessment</w:t>
            </w:r>
            <w:r>
              <w:t xml:space="preserve"> </w:t>
            </w:r>
            <w:r>
              <w:t xml:space="preserve">of the status of 4VWX Snow Crab</w:t>
            </w:r>
            <w:r>
              <w:t xml:space="preserve"> </w:t>
            </w:r>
            <w:r>
              <w:t xml:space="preserve">is based on fishery independent</w:t>
            </w:r>
            <w:r>
              <w:t xml:space="preserve"> </w:t>
            </w:r>
            <w:r>
              <w:t xml:space="preserve">surveys using indicators of</w:t>
            </w:r>
            <w:r>
              <w:t xml:space="preserve"> </w:t>
            </w:r>
            <w:r>
              <w:t xml:space="preserve">abundance, reproductive</w:t>
            </w:r>
            <w:r>
              <w:t xml:space="preserve"> </w:t>
            </w:r>
            <w:r>
              <w:t xml:space="preserve">potential, recruitment, and</w:t>
            </w:r>
            <w:r>
              <w:t xml:space="preserve"> </w:t>
            </w:r>
            <w:r>
              <w:t xml:space="preserve">exploitation rates. Ecosystem</w:t>
            </w:r>
            <w:r>
              <w:t xml:space="preserve"> </w:t>
            </w:r>
            <w:r>
              <w:t xml:space="preserve">and environmental indicators are</w:t>
            </w:r>
            <w:r>
              <w:t xml:space="preserve"> </w:t>
            </w:r>
            <w:r>
              <w:t xml:space="preserve">also incorporated into the</w:t>
            </w:r>
            <w:r>
              <w:t xml:space="preserve"> </w:t>
            </w:r>
            <w:r>
              <w:t xml:space="preserve">assessment. Commercial catch</w:t>
            </w:r>
            <w:r>
              <w:t xml:space="preserve"> </w:t>
            </w:r>
            <w:r>
              <w:t xml:space="preserve">rates and other fishery</w:t>
            </w:r>
            <w:r>
              <w:t xml:space="preserve"> </w:t>
            </w:r>
            <w:r>
              <w:t xml:space="preserve">statistics are reported.</w:t>
            </w:r>
          </w:p>
          <w:p>
            <w:pPr>
              <w:jc w:val="left"/>
            </w:pPr>
            <w:r>
              <w:t xml:space="preserve">This Science Advisory Report is</w:t>
            </w:r>
            <w:r>
              <w:t xml:space="preserve"> </w:t>
            </w:r>
            <w:r>
              <w:t xml:space="preserve">from the February 27, 2020,</w:t>
            </w:r>
            <w:r>
              <w:t xml:space="preserve"> </w:t>
            </w:r>
            <w:r>
              <w:t xml:space="preserve">Stock Assessment of Scotian</w:t>
            </w:r>
            <w:r>
              <w:t xml:space="preserve"> </w:t>
            </w:r>
            <w:r>
              <w:t xml:space="preserve">Shelf Snow Crab. Additional</w:t>
            </w:r>
            <w:r>
              <w:t xml:space="preserve"> </w:t>
            </w:r>
            <w:r>
              <w:t xml:space="preserve">publications from this process</w:t>
            </w:r>
            <w:r>
              <w:t xml:space="preserve"> </w:t>
            </w:r>
            <w:r>
              <w:t xml:space="preserve">will be posted on the</w:t>
            </w:r>
            <w:r>
              <w:t xml:space="preserve"> </w:t>
            </w:r>
            <w:hyperlink r:id="rId22">
              <w:r>
                <w:rPr>
                  <w:rStyle w:val="Hyperlink"/>
                  <w:u w:val="single"/>
                  <w:iCs/>
                  <w:i/>
                </w:rPr>
                <w:t xml:space="preserve">Fisheries and Oceans Canada</w:t>
              </w:r>
              <w:r>
                <w:rPr>
                  <w:rStyle w:val="Hyperlink"/>
                  <w:u w:val="single"/>
                  <w:iCs/>
                  <w:i/>
                </w:rPr>
                <w:t xml:space="preserve"> </w:t>
              </w:r>
              <w:r>
                <w:rPr>
                  <w:rStyle w:val="Hyperlink"/>
                  <w:u w:val="single"/>
                  <w:iCs/>
                  <w:i/>
                </w:rPr>
                <w:t xml:space="preserve">(DFO) Science Advisory</w:t>
              </w:r>
              <w:r>
                <w:rPr>
                  <w:rStyle w:val="Hyperlink"/>
                  <w:u w:val="single"/>
                  <w:iCs/>
                  <w:i/>
                </w:rPr>
                <w:t xml:space="preserve"> </w:t>
              </w:r>
              <w:r>
                <w:rPr>
                  <w:rStyle w:val="Hyperlink"/>
                  <w:u w:val="single"/>
                  <w:iCs/>
                  <w:i/>
                </w:rPr>
                <w:t xml:space="preserve">Sch</w:t>
              </w:r>
              <w:r>
                <w:rPr>
                  <w:rStyle w:val="Hyperlink"/>
                  <w:u w:val="single"/>
                  <w:iCs/>
                  <w:i/>
                </w:rPr>
                <w:t xml:space="preserve"> </w:t>
              </w:r>
              <w:r>
                <w:rPr>
                  <w:rStyle w:val="Hyperlink"/>
                  <w:u w:val="single"/>
                  <w:iCs/>
                  <w:i/>
                </w:rPr>
                <w:t xml:space="preserve">edule</w:t>
              </w:r>
            </w:hyperlink>
            <w:r>
              <w:t xml:space="preserve"> </w:t>
            </w:r>
            <w:r>
              <w:t xml:space="preserve">as they become available.</w:t>
            </w:r>
          </w:p>
        </w:tc>
        <w:tc>
          <w:tcPr/>
          <w:p>
            <w:pPr>
              <w:pStyle w:val="Compact"/>
            </w:pPr>
          </w:p>
        </w:tc>
      </w:tr>
    </w:tbl>
    <w:bookmarkStart w:id="23" w:name="summary"/>
    <w:p>
      <w:pPr>
        <w:pStyle w:val="Heading2"/>
      </w:pPr>
      <w:r>
        <w:t xml:space="preserve">SUMMARY</w:t>
      </w:r>
    </w:p>
    <w:p>
      <w:pPr>
        <w:numPr>
          <w:ilvl w:val="0"/>
          <w:numId w:val="1001"/>
        </w:numPr>
      </w:pPr>
      <w:r>
        <w:t xml:space="preserve">Landings in 2019 for N-ENS and S-ENS were 629 t and 6,632 t, respectively, representing a decrease of 15% (N-ENS) and an increase of 9% (S-ENS) relative to the previous year. Total Allowable Catches (TAC) were 631 t and 6,632 t in N-ENS and S-ENS, respectively. There was no allowable catch in 4X for the 2018/19 season.</w:t>
      </w:r>
    </w:p>
    <w:p>
      <w:pPr>
        <w:numPr>
          <w:ilvl w:val="0"/>
          <w:numId w:val="1001"/>
        </w:numPr>
      </w:pPr>
      <w:r>
        <w:t xml:space="preserve">Non-standardized catch rates in 2019 were 87 kg/trap haul in N-ENS and 105 kg/trap haul in S-ENS. Relative to the previous year, this represents an increase of 40% (N-ENS) and a decrease of 9% (S ENS).</w:t>
      </w:r>
    </w:p>
    <w:p>
      <w:pPr>
        <w:numPr>
          <w:ilvl w:val="0"/>
          <w:numId w:val="1001"/>
        </w:numPr>
      </w:pPr>
      <w:r>
        <w:t xml:space="preserve">Commercial catches of soft-shelled (newly moulted) Snow Crab were 5% in N-ENS and 2% in S ENS for the 2019 season. This is a decrease from 25% in N-ENS and is consistent in S‑ENS from the previous season. Higher soft-shell catches for N-ENS were almost exclusively from the summer fishery.</w:t>
      </w:r>
    </w:p>
    <w:p>
      <w:pPr>
        <w:numPr>
          <w:ilvl w:val="0"/>
          <w:numId w:val="1001"/>
        </w:numPr>
      </w:pPr>
      <w:r>
        <w:t xml:space="preserve">Estimation of a fishable biomass index was conducted using newly developed conditional, auto-regressive, spatiotemporal models. This</w:t>
      </w:r>
      <w:r>
        <w:t xml:space="preserve"> </w:t>
      </w:r>
      <w:r>
        <w:t xml:space="preserve">“</w:t>
      </w:r>
      <w:r>
        <w:t xml:space="preserve">carstm</w:t>
      </w:r>
      <w:r>
        <w:t xml:space="preserve">”</w:t>
      </w:r>
      <w:r>
        <w:t xml:space="preserve"> </w:t>
      </w:r>
      <w:r>
        <w:t xml:space="preserve">approach models Snow Crab numerical abundance with environmental (depth, substrate, temperature) and biological factors (species composition) as covariates.</w:t>
      </w:r>
    </w:p>
    <w:p>
      <w:pPr>
        <w:numPr>
          <w:ilvl w:val="0"/>
          <w:numId w:val="1001"/>
        </w:numPr>
      </w:pPr>
      <w:r>
        <w:t xml:space="preserve">The modelled, post-fishery, fishable biomass of Snow Crab in N-ENS was estimated to be 4,460 t, relative to 3,299 t in 2018. In S-ENS, the post-fishery, fishable biomass index was 54,408 t, relative to 44,705 t in 2018. In 4X, the fishable biomass was 418 t, relative to 428 t in 2018.</w:t>
      </w:r>
    </w:p>
    <w:p>
      <w:pPr>
        <w:numPr>
          <w:ilvl w:val="0"/>
          <w:numId w:val="1001"/>
        </w:numPr>
      </w:pPr>
      <w:r>
        <w:t xml:space="preserve">Substantial recruitment of female Snow Crab into the mature (egg-bearing) segment of the population occurred from 2016-2018 and egg/larval production is expected to be high, though decreasing, as the numeric densities of mature female Snow Crab are now declining.</w:t>
      </w:r>
    </w:p>
    <w:p>
      <w:pPr>
        <w:numPr>
          <w:ilvl w:val="0"/>
          <w:numId w:val="1001"/>
        </w:numPr>
      </w:pPr>
      <w:r>
        <w:t xml:space="preserve">Bycatch of non-target species is extremely low (&lt;0.4%) in all Snow Crab fishing areas.</w:t>
      </w:r>
    </w:p>
    <w:p>
      <w:pPr>
        <w:numPr>
          <w:ilvl w:val="0"/>
          <w:numId w:val="1001"/>
        </w:numPr>
      </w:pPr>
      <w:r>
        <w:t xml:space="preserve">Based on stomach sampling, Atlantic Halibut, Atlantic Wolffish, Thorny Skate, and other skate species appear to be the predominant predators of Snow Crab on the Scotian Shelf. Increased Halibut biomass lowers both the abundance and reproductive potential of Snow Crab on the Scotian Shelf.</w:t>
      </w:r>
    </w:p>
    <w:p>
      <w:pPr>
        <w:numPr>
          <w:ilvl w:val="0"/>
          <w:numId w:val="1001"/>
        </w:numPr>
      </w:pPr>
      <w:r>
        <w:t xml:space="preserve">A reference points-based Precautionary Approach has been implemented in this fishery. The Limit Reference Point is 25% of carrying capacity and the Upper Stock Reference is 50% of carrying capacity. The Target Removal Reference is 20% of the fishable biomass in each area, and the Removal Reference is not to exceed fishing mortality at Maximum Sustainable Yield. Various secondary (population and ecosystem) indicators are taken into consideration for management decisions.</w:t>
      </w:r>
    </w:p>
    <w:p>
      <w:pPr>
        <w:numPr>
          <w:ilvl w:val="0"/>
          <w:numId w:val="1001"/>
        </w:numPr>
      </w:pPr>
      <w:r>
        <w:t xml:space="preserve">In N-ENS, minor TAC decreases for the past two seasons and increased recruitment to the fishery have helped catch rates and fishable biomass estimates to rebound. N-ENS has moved from the cautious zone in 2018 to the healthy zone in 2019. Given stock status and incoming recruitment, catch levels similar to those in 2017 and 2018 would help to maintain recent exploitation levels.</w:t>
      </w:r>
    </w:p>
    <w:p>
      <w:pPr>
        <w:numPr>
          <w:ilvl w:val="0"/>
          <w:numId w:val="1001"/>
        </w:numPr>
      </w:pPr>
      <w:r>
        <w:t xml:space="preserve">In S-ENS, substantial TAC reductions from 2016-2018 helped maintain stable fishery performance (catch rates) in spite of reduced recruitment, increased predation, and falling fishable biomass estimates throughout that time. Increased recruitment to the fishery is likely for the upcoming season. Exploitation rates derived from the fishery model have been declining in recent years. An increase in catch levels would help to maintain recent exploitation levels.</w:t>
      </w:r>
    </w:p>
    <w:p>
      <w:pPr>
        <w:numPr>
          <w:ilvl w:val="0"/>
          <w:numId w:val="1001"/>
        </w:numPr>
      </w:pPr>
      <w:r>
        <w:t xml:space="preserve">4X is the southern-most extent of Snow Crab distribution in the North Atlantic. Snow Crab behavior and distribution in 4X is affected by increased volatility of ecosystem pressures such as water temperature, predation, and bycatch in other fisheries. Due to a lack of coherence in inter-annual size-frequency distributions, the current Harvest Control Rules and associated management practices (ultimately based on survey results) for 4X should be revisited. Alternate harvest strategies will be explored before the upcoming fall season.</w:t>
      </w:r>
    </w:p>
    <w:bookmarkEnd w:id="23"/>
    <w:bookmarkStart w:id="34" w:name="background"/>
    <w:p>
      <w:pPr>
        <w:pStyle w:val="Heading2"/>
      </w:pPr>
      <w:r>
        <w:t xml:space="preserve">BACKGROUND</w:t>
      </w:r>
    </w:p>
    <w:bookmarkStart w:id="24" w:name="species-biology"/>
    <w:p>
      <w:pPr>
        <w:pStyle w:val="Heading3"/>
      </w:pPr>
      <w:r>
        <w:t xml:space="preserve">Species Biology</w:t>
      </w:r>
    </w:p>
    <w:p>
      <w:pPr>
        <w:pStyle w:val="FirstParagraph"/>
      </w:pPr>
      <w:r>
        <w:t xml:space="preserve">Snow Crab (</w:t>
      </w:r>
      <w:r>
        <w:rPr>
          <w:iCs/>
          <w:i/>
        </w:rPr>
        <w:t xml:space="preserve">Chionoecetes opilio</w:t>
      </w:r>
      <w:r>
        <w:t xml:space="preserve">, O. Fabricius) is a subarctic species</w:t>
      </w:r>
      <w:r>
        <w:t xml:space="preserve"> </w:t>
      </w:r>
      <w:r>
        <w:t xml:space="preserve">with a distribution from northern Labrador to near the Gulf of Maine.</w:t>
      </w:r>
      <w:r>
        <w:t xml:space="preserve"> </w:t>
      </w:r>
      <w:r>
        <w:t xml:space="preserve">Habitat preference is for soft mud bottoms. Smaller crabs are found in</w:t>
      </w:r>
      <w:r>
        <w:t xml:space="preserve"> </w:t>
      </w:r>
      <w:r>
        <w:t xml:space="preserve">more complex habitats with shelter. Commercial sized crab (male, &gt;95 mm</w:t>
      </w:r>
      <w:r>
        <w:t xml:space="preserve"> </w:t>
      </w:r>
      <w:r>
        <w:t xml:space="preserve">Carapace Width (CW)) in large numbers are found at depths from 60 to 280</w:t>
      </w:r>
      <w:r>
        <w:t xml:space="preserve"> </w:t>
      </w:r>
      <w:r>
        <w:t xml:space="preserve">m and temperatures from -1 to 6°C in the Scotian Shelf Ecosystem (SSE).</w:t>
      </w:r>
      <w:r>
        <w:t xml:space="preserve"> </w:t>
      </w:r>
      <w:r>
        <w:t xml:space="preserve">Temperatures greater than 7°C are known to be detrimental to Snow Crab.</w:t>
      </w:r>
      <w:r>
        <w:t xml:space="preserve"> </w:t>
      </w:r>
      <w:r>
        <w:t xml:space="preserve">The primary food items of Snow Crab are shrimp, fish (Capelin and</w:t>
      </w:r>
      <w:r>
        <w:t xml:space="preserve"> </w:t>
      </w:r>
      <w:r>
        <w:t xml:space="preserve">Lumpfish), starfish, sea urchins, worms, detritus, large zooplankton,</w:t>
      </w:r>
      <w:r>
        <w:t xml:space="preserve"> </w:t>
      </w:r>
      <w:r>
        <w:t xml:space="preserve">other crabs, molluscs, sea snails, and sea anemones. Predators of Snow</w:t>
      </w:r>
      <w:r>
        <w:t xml:space="preserve"> </w:t>
      </w:r>
      <w:r>
        <w:t xml:space="preserve">Crab are Atlantic Halibut, skates (especially Thorny Skate), Atlantic</w:t>
      </w:r>
      <w:r>
        <w:t xml:space="preserve"> </w:t>
      </w:r>
      <w:r>
        <w:t xml:space="preserve">Cod, seals, American Plaice, squids, and other crabs. Crab in the size</w:t>
      </w:r>
      <w:r>
        <w:t xml:space="preserve"> </w:t>
      </w:r>
      <w:r>
        <w:t xml:space="preserve">range of 3 to 30 mm CW are particularly vulnerable to predation, as are</w:t>
      </w:r>
      <w:r>
        <w:t xml:space="preserve"> </w:t>
      </w:r>
      <w:r>
        <w:t xml:space="preserve">soft-shelled crab in the spring moulting season. Snow Crab have been a</w:t>
      </w:r>
      <w:r>
        <w:t xml:space="preserve"> </w:t>
      </w:r>
      <w:r>
        <w:t xml:space="preserve">dominant macro-invertebrate in the SSE since the decline of groundfish</w:t>
      </w:r>
      <w:r>
        <w:t xml:space="preserve"> </w:t>
      </w:r>
      <w:r>
        <w:t xml:space="preserve">abundance during the late 1980s and early 1990s. The SSE Snow Crab are</w:t>
      </w:r>
      <w:r>
        <w:t xml:space="preserve"> </w:t>
      </w:r>
      <w:r>
        <w:t xml:space="preserve">in the southern-most extreme of their spatial distribution in the</w:t>
      </w:r>
      <w:r>
        <w:t xml:space="preserve"> </w:t>
      </w:r>
      <w:r>
        <w:t xml:space="preserve">northwest Atlantic and, as such, are one of the Snow Crab populations</w:t>
      </w:r>
      <w:r>
        <w:t xml:space="preserve"> </w:t>
      </w:r>
      <w:r>
        <w:t xml:space="preserve">most susceptible to increasing ocean temperatures.</w:t>
      </w:r>
    </w:p>
    <w:bookmarkEnd w:id="24"/>
    <w:bookmarkStart w:id="33" w:name="fishery"/>
    <w:p>
      <w:pPr>
        <w:pStyle w:val="Heading3"/>
      </w:pPr>
      <w:r>
        <w:t xml:space="preserve">Fishery</w:t>
      </w:r>
    </w:p>
    <w:p>
      <w:pPr>
        <w:pStyle w:val="FirstParagraph"/>
      </w:pPr>
      <w:r>
        <w:t xml:space="preserve">The Snow Crab fishery in eastern Canada began in 1960 with incidental</w:t>
      </w:r>
      <w:r>
        <w:t xml:space="preserve"> </w:t>
      </w:r>
      <w:r>
        <w:t xml:space="preserve">bycatches by groundfish draggers near Gaspé, Quebec. Its development was</w:t>
      </w:r>
      <w:r>
        <w:t xml:space="preserve"> </w:t>
      </w:r>
      <w:r>
        <w:t xml:space="preserve">slow until the 1980s, when it began expanding rapidly to become one of</w:t>
      </w:r>
      <w:r>
        <w:t xml:space="preserve"> </w:t>
      </w:r>
      <w:r>
        <w:t xml:space="preserve">the largest fisheries in Canada in terms of landings and landed value.</w:t>
      </w:r>
      <w:r>
        <w:t xml:space="preserve"> </w:t>
      </w:r>
      <w:r>
        <w:t xml:space="preserve">On the Scotian Shelf, the fishery has been in existence since the early</w:t>
      </w:r>
      <w:r>
        <w:t xml:space="preserve"> </w:t>
      </w:r>
      <w:r>
        <w:t xml:space="preserve">1970s. The Scotian Shelf Snow Crab fishery lands only males with CW ≥ 95</w:t>
      </w:r>
      <w:r>
        <w:t xml:space="preserve"> </w:t>
      </w:r>
      <w:r>
        <w:t xml:space="preserve">mm. There is also a concerted effort to avoid areas of newly moulted</w:t>
      </w:r>
      <w:r>
        <w:t xml:space="preserve"> </w:t>
      </w:r>
      <w:r>
        <w:t xml:space="preserve">(soft-shelled) crab and to discard immature males. The North-Eastern</w:t>
      </w:r>
      <w:r>
        <w:t xml:space="preserve"> </w:t>
      </w:r>
      <w:r>
        <w:t xml:space="preserve">Nova Scotia (N-ENS) and South-Eastern Nova Scotia (S- ENS) fisheries are</w:t>
      </w:r>
      <w:r>
        <w:t xml:space="preserve"> </w:t>
      </w:r>
      <w:r>
        <w:t xml:space="preserve">conducted within a calendar year. The 4X fishery is conducted over a</w:t>
      </w:r>
      <w:r>
        <w:t xml:space="preserve"> </w:t>
      </w:r>
      <w:r>
        <w:t xml:space="preserve">fall to winter fishing season spanning calendar years. Total landings</w:t>
      </w:r>
      <w:r>
        <w:t xml:space="preserve"> </w:t>
      </w:r>
      <w:r>
        <w:t xml:space="preserve">increased to record-levels of approximately 10,000 tonnes (t) each year</w:t>
      </w:r>
      <w:r>
        <w:t xml:space="preserve"> </w:t>
      </w:r>
      <w:r>
        <w:t xml:space="preserve">in the early 2000s and increased further to approximately 14,000 t in</w:t>
      </w:r>
      <w:r>
        <w:t xml:space="preserve"> </w:t>
      </w:r>
      <w:r>
        <w:t xml:space="preserve">2010 (Figure 2). In 2005, many Crab Fishing Areas (CFAs) and subareas</w:t>
      </w:r>
      <w:r>
        <w:t xml:space="preserve"> </w:t>
      </w:r>
      <w:r>
        <w:t xml:space="preserve">were merged, with the resulting divisions being N-ENS (formerly CFAs</w:t>
      </w:r>
      <w:r>
        <w:t xml:space="preserve"> </w:t>
      </w:r>
      <w:r>
        <w:t xml:space="preserve">20-22), S-ENS (CFAs 23 and 24), and 4X (Figure 1).</w:t>
      </w:r>
    </w:p>
    <w:p>
      <w:pPr>
        <w:pStyle w:val="BodyText"/>
      </w:pPr>
      <w:r>
        <w:t xml:space="preserve">Landings in 2019 for N-ENS and S-ENS were 629 t and 6,632 t, respectively, representing a</w:t>
      </w:r>
      <w:r>
        <w:t xml:space="preserve"> </w:t>
      </w:r>
      <w:r>
        <w:t xml:space="preserve">decrease of 15% (N-ENS) and an increase of 9% (S-ENS) relative to the</w:t>
      </w:r>
      <w:r>
        <w:t xml:space="preserve"> </w:t>
      </w:r>
      <w:r>
        <w:t xml:space="preserve">previous year (Figure 2, Tables 1-3). Total Allowable Catches in 2019</w:t>
      </w:r>
      <w:r>
        <w:t xml:space="preserve"> </w:t>
      </w:r>
      <w:r>
        <w:t xml:space="preserve">were 631 t, 6,632 t and 0 t in N-ENS, S-ENS and 4X, respectively. Due to</w:t>
      </w:r>
      <w:r>
        <w:t xml:space="preserve"> </w:t>
      </w:r>
      <w:r>
        <w:t xml:space="preserve">low commercial biomass levels, there was no allowable catch in 4X for</w:t>
      </w:r>
      <w:r>
        <w:t xml:space="preserve"> </w:t>
      </w:r>
      <w:r>
        <w:t xml:space="preserve">the 2018/19 season. The 2019/20 4X season is currently underway with a</w:t>
      </w:r>
      <w:r>
        <w:t xml:space="preserve"> </w:t>
      </w:r>
      <w:r>
        <w:t xml:space="preserve">conservative TAC of 55 t.</w:t>
      </w:r>
    </w:p>
    <w:p>
      <w:pPr>
        <w:pStyle w:val="BodyText"/>
      </w:pPr>
      <w:r>
        <w:drawing>
          <wp:inline>
            <wp:extent cx="5943600" cy="5943600"/>
            <wp:effectExtent b="0" l="0" r="0" t="0"/>
            <wp:docPr descr="" title="" id="1" name="Picture"/>
            <a:graphic>
              <a:graphicData uri="http://schemas.openxmlformats.org/drawingml/2006/picture">
                <pic:pic>
                  <pic:nvPicPr>
                    <pic:cNvPr descr="media/landings_timeseries.png" id="0" name="Picture"/>
                    <pic:cNvPicPr>
                      <a:picLocks noChangeArrowheads="1" noChangeAspect="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2. Temporal variations in the landings (t) of Snow Crab on the</w:t>
      </w:r>
      <w:r>
        <w:t xml:space="preserve"> </w:t>
      </w:r>
      <w:r>
        <w:t xml:space="preserve">Scotian Shelf. The landings follow the Total Allowable Catches (TACs)</w:t>
      </w:r>
      <w:r>
        <w:t xml:space="preserve"> </w:t>
      </w:r>
      <w:r>
        <w:t xml:space="preserve">with little deviation, so the TACs are not shown. For 4X, the year</w:t>
      </w:r>
      <w:r>
        <w:t xml:space="preserve"> </w:t>
      </w:r>
      <w:r>
        <w:t xml:space="preserve">refers to the starting year of the season.</w:t>
      </w:r>
    </w:p>
    <w:p>
      <w:pPr>
        <w:pStyle w:val="BodyText"/>
      </w:pPr>
      <w:r>
        <w:t xml:space="preserve">Table 1. Summary of the Snow Crab fishery in North-Eastern Nova Scotia.</w:t>
      </w:r>
    </w:p>
    <w:p>
      <w:pPr>
        <w:pStyle w:val="TableCaption"/>
      </w:pPr>
      <w:bookmarkStart w:id="26" w:name="table1"/>
      <w:r>
        <w:t xml:space="preserve">Table </w:t>
      </w:r>
      <w:fldSimple w:instr="SEQ Table \* ARABIC ">
        <w:r>
          <w:t>1</w:t>
        </w:r>
      </w:fldSimple>
      <w:r>
        <w:t xml:space="preserve">:</w:t>
      </w:r>
      <w:bookmarkEnd w:id="26"/>
      <w:r>
        <w:t xml:space="preserve"> </w:t>
      </w:r>
      <w:r>
        <w:t xml:space="preserve">Table 1</w:t>
      </w:r>
    </w:p>
    <w:tbl>
      <w:tblPr>
        <w:tblStyle w:val="Table"/>
        <w:tblW w:type="pct" w:w="5000"/>
        <w:tblLook w:firstRow="1" w:lastRow="0" w:firstColumn="0" w:lastColumn="0" w:noHBand="0" w:noVBand="0" w:val="0020"/>
        <w:tblCaption w:val="Table 1"/>
      </w:tblPr>
      <w:tblGrid>
        <w:gridCol w:w="1075"/>
        <w:gridCol w:w="1466"/>
        <w:gridCol w:w="1075"/>
        <w:gridCol w:w="1271"/>
        <w:gridCol w:w="1271"/>
        <w:gridCol w:w="1760"/>
      </w:tblGrid>
      <w:tr>
        <w:trPr>
          <w:tblHeader w:val="true"/>
        </w:trPr>
        <w:tc>
          <w:tcPr/>
          <w:p>
            <w:pPr>
              <w:pStyle w:val="Compact"/>
              <w:jc w:val="right"/>
            </w:pPr>
            <w:r>
              <w:rPr>
                <w:bCs/>
                <w:b/>
              </w:rPr>
              <w:t xml:space="preserve">Year</w:t>
            </w:r>
          </w:p>
        </w:tc>
        <w:tc>
          <w:tcPr/>
          <w:p>
            <w:pPr>
              <w:pStyle w:val="Compact"/>
              <w:jc w:val="right"/>
            </w:pPr>
            <w:r>
              <w:rPr>
                <w:bCs/>
                <w:b/>
              </w:rPr>
              <w:t xml:space="preserve">Licenses</w:t>
            </w:r>
          </w:p>
        </w:tc>
        <w:tc>
          <w:tcPr/>
          <w:p>
            <w:pPr>
              <w:pStyle w:val="Compact"/>
              <w:jc w:val="center"/>
            </w:pPr>
            <w:r>
              <w:rPr>
                <w:bCs/>
                <w:b/>
              </w:rPr>
              <w:t xml:space="preserve">TAC</w:t>
            </w:r>
            <w:r>
              <w:rPr>
                <w:bCs/>
                <w:b/>
              </w:rPr>
              <w:t xml:space="preserve"> </w:t>
            </w:r>
            <w:r>
              <w:rPr>
                <w:bCs/>
                <w:b/>
              </w:rPr>
              <w:t xml:space="preserve">(t)</w:t>
            </w:r>
          </w:p>
        </w:tc>
        <w:tc>
          <w:tcPr/>
          <w:p>
            <w:pPr>
              <w:pStyle w:val="Compact"/>
              <w:jc w:val="center"/>
            </w:pPr>
            <w:r>
              <w:rPr>
                <w:bCs/>
                <w:b/>
              </w:rPr>
              <w:t xml:space="preserve">Landings</w:t>
            </w:r>
            <w:r>
              <w:rPr>
                <w:bCs/>
                <w:b/>
              </w:rPr>
              <w:t xml:space="preserve"> </w:t>
            </w:r>
            <w:r>
              <w:rPr>
                <w:bCs/>
                <w:b/>
              </w:rPr>
              <w:t xml:space="preserve">(t)</w:t>
            </w:r>
          </w:p>
        </w:tc>
        <w:tc>
          <w:tcPr/>
          <w:p>
            <w:pPr>
              <w:pStyle w:val="Compact"/>
              <w:jc w:val="center"/>
            </w:pPr>
            <w:r>
              <w:rPr>
                <w:bCs/>
                <w:b/>
              </w:rPr>
              <w:t xml:space="preserve">CPUE</w:t>
            </w:r>
            <w:r>
              <w:br/>
            </w:r>
            <w:r>
              <w:rPr>
                <w:bCs/>
                <w:b/>
              </w:rPr>
              <w:t xml:space="preserve">(kg/trap</w:t>
            </w:r>
            <w:r>
              <w:rPr>
                <w:bCs/>
                <w:b/>
              </w:rPr>
              <w:t xml:space="preserve"> </w:t>
            </w:r>
            <w:r>
              <w:rPr>
                <w:bCs/>
                <w:b/>
              </w:rPr>
              <w:t xml:space="preserve">haul)</w:t>
            </w:r>
          </w:p>
        </w:tc>
        <w:tc>
          <w:tcPr/>
          <w:p>
            <w:pPr>
              <w:pStyle w:val="Compact"/>
              <w:jc w:val="center"/>
            </w:pPr>
            <w:r>
              <w:rPr>
                <w:bCs/>
                <w:b/>
              </w:rPr>
              <w:t xml:space="preserve">Effort</w:t>
            </w:r>
            <w:r>
              <w:br/>
            </w:r>
            <w:r>
              <w:rPr>
                <w:bCs/>
                <w:b/>
              </w:rPr>
              <w:t xml:space="preserve">(x1000 trap</w:t>
            </w:r>
            <w:r>
              <w:rPr>
                <w:bCs/>
                <w:b/>
              </w:rPr>
              <w:t xml:space="preserve"> </w:t>
            </w:r>
            <w:r>
              <w:rPr>
                <w:bCs/>
                <w:b/>
              </w:rPr>
              <w:t xml:space="preserve">hauls)</w:t>
            </w:r>
          </w:p>
        </w:tc>
      </w:tr>
      <w:tr>
        <w:tc>
          <w:tcPr/>
          <w:p>
            <w:pPr>
              <w:pStyle w:val="Compact"/>
              <w:jc w:val="right"/>
            </w:pPr>
            <w:r>
              <w:t xml:space="preserve">2010</w:t>
            </w:r>
          </w:p>
        </w:tc>
        <w:tc>
          <w:tcPr/>
          <w:p>
            <w:pPr>
              <w:pStyle w:val="Compact"/>
              <w:jc w:val="right"/>
            </w:pPr>
            <w:r>
              <w:t xml:space="preserve">78</w:t>
            </w:r>
          </w:p>
        </w:tc>
        <w:tc>
          <w:tcPr/>
          <w:p>
            <w:pPr>
              <w:pStyle w:val="Compact"/>
              <w:jc w:val="center"/>
            </w:pPr>
            <w:r>
              <w:t xml:space="preserve">576</w:t>
            </w:r>
          </w:p>
        </w:tc>
        <w:tc>
          <w:tcPr/>
          <w:p>
            <w:pPr>
              <w:pStyle w:val="Compact"/>
              <w:jc w:val="center"/>
            </w:pPr>
            <w:r>
              <w:t xml:space="preserve">576</w:t>
            </w:r>
          </w:p>
        </w:tc>
        <w:tc>
          <w:tcPr/>
          <w:p>
            <w:pPr>
              <w:pStyle w:val="Compact"/>
              <w:jc w:val="center"/>
            </w:pPr>
            <w:r>
              <w:t xml:space="preserve">55</w:t>
            </w:r>
          </w:p>
        </w:tc>
        <w:tc>
          <w:tcPr/>
          <w:p>
            <w:pPr>
              <w:pStyle w:val="Compact"/>
              <w:jc w:val="center"/>
            </w:pPr>
            <w:r>
              <w:t xml:space="preserve">10.5</w:t>
            </w:r>
          </w:p>
        </w:tc>
      </w:tr>
      <w:tr>
        <w:tc>
          <w:tcPr/>
          <w:p>
            <w:pPr>
              <w:pStyle w:val="Compact"/>
              <w:jc w:val="right"/>
            </w:pPr>
            <w:r>
              <w:t xml:space="preserve">2011</w:t>
            </w:r>
          </w:p>
        </w:tc>
        <w:tc>
          <w:tcPr/>
          <w:p>
            <w:pPr>
              <w:pStyle w:val="Compact"/>
              <w:jc w:val="right"/>
            </w:pPr>
            <w:r>
              <w:t xml:space="preserve">78</w:t>
            </w:r>
          </w:p>
        </w:tc>
        <w:tc>
          <w:tcPr/>
          <w:p>
            <w:pPr>
              <w:pStyle w:val="Compact"/>
              <w:jc w:val="center"/>
            </w:pPr>
            <w:r>
              <w:t xml:space="preserve">534</w:t>
            </w:r>
          </w:p>
        </w:tc>
        <w:tc>
          <w:tcPr/>
          <w:p>
            <w:pPr>
              <w:pStyle w:val="Compact"/>
              <w:jc w:val="center"/>
            </w:pPr>
            <w:r>
              <w:t xml:space="preserve">536</w:t>
            </w:r>
          </w:p>
        </w:tc>
        <w:tc>
          <w:tcPr/>
          <w:p>
            <w:pPr>
              <w:pStyle w:val="Compact"/>
              <w:jc w:val="center"/>
            </w:pPr>
            <w:r>
              <w:t xml:space="preserve">110</w:t>
            </w:r>
          </w:p>
        </w:tc>
        <w:tc>
          <w:tcPr/>
          <w:p>
            <w:pPr>
              <w:pStyle w:val="Compact"/>
              <w:jc w:val="center"/>
            </w:pPr>
            <w:r>
              <w:t xml:space="preserve">4.8</w:t>
            </w:r>
          </w:p>
        </w:tc>
      </w:tr>
      <w:tr>
        <w:tc>
          <w:tcPr/>
          <w:p>
            <w:pPr>
              <w:pStyle w:val="Compact"/>
              <w:jc w:val="right"/>
            </w:pPr>
            <w:r>
              <w:t xml:space="preserve">2012</w:t>
            </w:r>
          </w:p>
        </w:tc>
        <w:tc>
          <w:tcPr/>
          <w:p>
            <w:pPr>
              <w:pStyle w:val="Compact"/>
              <w:jc w:val="right"/>
            </w:pPr>
            <w:r>
              <w:t xml:space="preserve">78</w:t>
            </w:r>
          </w:p>
        </w:tc>
        <w:tc>
          <w:tcPr/>
          <w:p>
            <w:pPr>
              <w:pStyle w:val="Compact"/>
              <w:jc w:val="center"/>
            </w:pPr>
            <w:r>
              <w:t xml:space="preserve">603</w:t>
            </w:r>
          </w:p>
        </w:tc>
        <w:tc>
          <w:tcPr/>
          <w:p>
            <w:pPr>
              <w:pStyle w:val="Compact"/>
              <w:jc w:val="center"/>
            </w:pPr>
            <w:r>
              <w:t xml:space="preserve">603</w:t>
            </w:r>
          </w:p>
        </w:tc>
        <w:tc>
          <w:tcPr/>
          <w:p>
            <w:pPr>
              <w:pStyle w:val="Compact"/>
              <w:jc w:val="center"/>
            </w:pPr>
            <w:r>
              <w:t xml:space="preserve">117</w:t>
            </w:r>
          </w:p>
        </w:tc>
        <w:tc>
          <w:tcPr/>
          <w:p>
            <w:pPr>
              <w:pStyle w:val="Compact"/>
              <w:jc w:val="center"/>
            </w:pPr>
            <w:r>
              <w:t xml:space="preserve">5.1</w:t>
            </w:r>
          </w:p>
        </w:tc>
      </w:tr>
      <w:tr>
        <w:tc>
          <w:tcPr/>
          <w:p>
            <w:pPr>
              <w:pStyle w:val="Compact"/>
              <w:jc w:val="right"/>
            </w:pPr>
            <w:r>
              <w:t xml:space="preserve">2013</w:t>
            </w:r>
          </w:p>
        </w:tc>
        <w:tc>
          <w:tcPr/>
          <w:p>
            <w:pPr>
              <w:pStyle w:val="Compact"/>
              <w:jc w:val="right"/>
            </w:pPr>
            <w:r>
              <w:t xml:space="preserve">78</w:t>
            </w:r>
          </w:p>
        </w:tc>
        <w:tc>
          <w:tcPr/>
          <w:p>
            <w:pPr>
              <w:pStyle w:val="Compact"/>
              <w:jc w:val="center"/>
            </w:pPr>
            <w:r>
              <w:t xml:space="preserve">783</w:t>
            </w:r>
          </w:p>
        </w:tc>
        <w:tc>
          <w:tcPr/>
          <w:p>
            <w:pPr>
              <w:pStyle w:val="Compact"/>
              <w:jc w:val="center"/>
            </w:pPr>
            <w:r>
              <w:t xml:space="preserve">783</w:t>
            </w:r>
          </w:p>
        </w:tc>
        <w:tc>
          <w:tcPr/>
          <w:p>
            <w:pPr>
              <w:pStyle w:val="Compact"/>
              <w:jc w:val="center"/>
            </w:pPr>
            <w:r>
              <w:t xml:space="preserve">106</w:t>
            </w:r>
          </w:p>
        </w:tc>
        <w:tc>
          <w:tcPr/>
          <w:p>
            <w:pPr>
              <w:pStyle w:val="Compact"/>
              <w:jc w:val="center"/>
            </w:pPr>
            <w:r>
              <w:t xml:space="preserve">7.4</w:t>
            </w:r>
          </w:p>
        </w:tc>
      </w:tr>
      <w:tr>
        <w:tc>
          <w:tcPr/>
          <w:p>
            <w:pPr>
              <w:pStyle w:val="Compact"/>
              <w:jc w:val="right"/>
            </w:pPr>
            <w:r>
              <w:t xml:space="preserve">2014</w:t>
            </w:r>
          </w:p>
        </w:tc>
        <w:tc>
          <w:tcPr/>
          <w:p>
            <w:pPr>
              <w:pStyle w:val="Compact"/>
              <w:jc w:val="right"/>
            </w:pPr>
            <w:r>
              <w:t xml:space="preserve">78</w:t>
            </w:r>
          </w:p>
        </w:tc>
        <w:tc>
          <w:tcPr/>
          <w:p>
            <w:pPr>
              <w:pStyle w:val="Compact"/>
              <w:jc w:val="center"/>
            </w:pPr>
            <w:r>
              <w:t xml:space="preserve">783</w:t>
            </w:r>
          </w:p>
        </w:tc>
        <w:tc>
          <w:tcPr/>
          <w:p>
            <w:pPr>
              <w:pStyle w:val="Compact"/>
              <w:jc w:val="center"/>
            </w:pPr>
            <w:r>
              <w:t xml:space="preserve">778</w:t>
            </w:r>
          </w:p>
        </w:tc>
        <w:tc>
          <w:tcPr/>
          <w:p>
            <w:pPr>
              <w:pStyle w:val="Compact"/>
              <w:jc w:val="center"/>
            </w:pPr>
            <w:r>
              <w:t xml:space="preserve">104</w:t>
            </w:r>
          </w:p>
        </w:tc>
        <w:tc>
          <w:tcPr/>
          <w:p>
            <w:pPr>
              <w:pStyle w:val="Compact"/>
              <w:jc w:val="center"/>
            </w:pPr>
            <w:r>
              <w:t xml:space="preserve">7.4</w:t>
            </w:r>
          </w:p>
        </w:tc>
      </w:tr>
      <w:tr>
        <w:tc>
          <w:tcPr/>
          <w:p>
            <w:pPr>
              <w:pStyle w:val="Compact"/>
              <w:jc w:val="right"/>
            </w:pPr>
            <w:r>
              <w:t xml:space="preserve">2015</w:t>
            </w:r>
          </w:p>
        </w:tc>
        <w:tc>
          <w:tcPr/>
          <w:p>
            <w:pPr>
              <w:pStyle w:val="Compact"/>
              <w:jc w:val="right"/>
            </w:pPr>
            <w:r>
              <w:t xml:space="preserve">78</w:t>
            </w:r>
          </w:p>
        </w:tc>
        <w:tc>
          <w:tcPr/>
          <w:p>
            <w:pPr>
              <w:pStyle w:val="Compact"/>
              <w:jc w:val="center"/>
            </w:pPr>
            <w:r>
              <w:t xml:space="preserve">620</w:t>
            </w:r>
          </w:p>
        </w:tc>
        <w:tc>
          <w:tcPr/>
          <w:p>
            <w:pPr>
              <w:pStyle w:val="Compact"/>
              <w:jc w:val="center"/>
            </w:pPr>
            <w:r>
              <w:t xml:space="preserve">619</w:t>
            </w:r>
          </w:p>
        </w:tc>
        <w:tc>
          <w:tcPr/>
          <w:p>
            <w:pPr>
              <w:pStyle w:val="Compact"/>
              <w:jc w:val="center"/>
            </w:pPr>
            <w:r>
              <w:t xml:space="preserve">103</w:t>
            </w:r>
          </w:p>
        </w:tc>
        <w:tc>
          <w:tcPr/>
          <w:p>
            <w:pPr>
              <w:pStyle w:val="Compact"/>
              <w:jc w:val="center"/>
            </w:pPr>
            <w:r>
              <w:t xml:space="preserve">6.0</w:t>
            </w:r>
          </w:p>
        </w:tc>
      </w:tr>
      <w:tr>
        <w:tc>
          <w:tcPr/>
          <w:p>
            <w:pPr>
              <w:pStyle w:val="Compact"/>
              <w:jc w:val="right"/>
            </w:pPr>
            <w:r>
              <w:t xml:space="preserve">2016</w:t>
            </w:r>
          </w:p>
        </w:tc>
        <w:tc>
          <w:tcPr/>
          <w:p>
            <w:pPr>
              <w:pStyle w:val="Compact"/>
              <w:jc w:val="right"/>
            </w:pPr>
            <w:r>
              <w:t xml:space="preserve">78</w:t>
            </w:r>
          </w:p>
        </w:tc>
        <w:tc>
          <w:tcPr/>
          <w:p>
            <w:pPr>
              <w:pStyle w:val="Compact"/>
              <w:jc w:val="center"/>
            </w:pPr>
            <w:r>
              <w:t xml:space="preserve">286</w:t>
            </w:r>
          </w:p>
        </w:tc>
        <w:tc>
          <w:tcPr/>
          <w:p>
            <w:pPr>
              <w:pStyle w:val="Compact"/>
              <w:jc w:val="center"/>
            </w:pPr>
            <w:r>
              <w:t xml:space="preserve">290</w:t>
            </w:r>
          </w:p>
        </w:tc>
        <w:tc>
          <w:tcPr/>
          <w:p>
            <w:pPr>
              <w:pStyle w:val="Compact"/>
              <w:jc w:val="center"/>
            </w:pPr>
            <w:r>
              <w:t xml:space="preserve">110</w:t>
            </w:r>
          </w:p>
        </w:tc>
        <w:tc>
          <w:tcPr/>
          <w:p>
            <w:pPr>
              <w:pStyle w:val="Compact"/>
              <w:jc w:val="center"/>
            </w:pPr>
            <w:r>
              <w:t xml:space="preserve">2.6</w:t>
            </w:r>
          </w:p>
        </w:tc>
      </w:tr>
      <w:tr>
        <w:tc>
          <w:tcPr/>
          <w:p>
            <w:pPr>
              <w:pStyle w:val="Compact"/>
              <w:jc w:val="right"/>
            </w:pPr>
            <w:r>
              <w:t xml:space="preserve">2017</w:t>
            </w:r>
          </w:p>
        </w:tc>
        <w:tc>
          <w:tcPr/>
          <w:p>
            <w:pPr>
              <w:pStyle w:val="Compact"/>
              <w:jc w:val="right"/>
            </w:pPr>
            <w:r>
              <w:t xml:space="preserve">78</w:t>
            </w:r>
          </w:p>
        </w:tc>
        <w:tc>
          <w:tcPr/>
          <w:p>
            <w:pPr>
              <w:pStyle w:val="Compact"/>
              <w:jc w:val="center"/>
            </w:pPr>
            <w:r>
              <w:t xml:space="preserve">825</w:t>
            </w:r>
          </w:p>
        </w:tc>
        <w:tc>
          <w:tcPr/>
          <w:p>
            <w:pPr>
              <w:pStyle w:val="Compact"/>
              <w:jc w:val="center"/>
            </w:pPr>
            <w:r>
              <w:t xml:space="preserve">813</w:t>
            </w:r>
          </w:p>
        </w:tc>
        <w:tc>
          <w:tcPr/>
          <w:p>
            <w:pPr>
              <w:pStyle w:val="Compact"/>
              <w:jc w:val="center"/>
            </w:pPr>
            <w:r>
              <w:t xml:space="preserve">90</w:t>
            </w:r>
          </w:p>
        </w:tc>
        <w:tc>
          <w:tcPr/>
          <w:p>
            <w:pPr>
              <w:pStyle w:val="Compact"/>
              <w:jc w:val="center"/>
            </w:pPr>
            <w:r>
              <w:t xml:space="preserve">9.0</w:t>
            </w:r>
          </w:p>
        </w:tc>
      </w:tr>
      <w:tr>
        <w:tc>
          <w:tcPr/>
          <w:p>
            <w:pPr>
              <w:pStyle w:val="Compact"/>
              <w:jc w:val="right"/>
            </w:pPr>
            <w:r>
              <w:t xml:space="preserve">2018</w:t>
            </w:r>
          </w:p>
        </w:tc>
        <w:tc>
          <w:tcPr/>
          <w:p>
            <w:pPr>
              <w:pStyle w:val="Compact"/>
              <w:jc w:val="right"/>
            </w:pPr>
            <w:r>
              <w:t xml:space="preserve">78</w:t>
            </w:r>
          </w:p>
        </w:tc>
        <w:tc>
          <w:tcPr/>
          <w:p>
            <w:pPr>
              <w:pStyle w:val="Compact"/>
              <w:jc w:val="center"/>
            </w:pPr>
            <w:r>
              <w:t xml:space="preserve">786</w:t>
            </w:r>
          </w:p>
        </w:tc>
        <w:tc>
          <w:tcPr/>
          <w:p>
            <w:pPr>
              <w:pStyle w:val="Compact"/>
              <w:jc w:val="center"/>
            </w:pPr>
            <w:r>
              <w:t xml:space="preserve">742</w:t>
            </w:r>
          </w:p>
        </w:tc>
        <w:tc>
          <w:tcPr/>
          <w:p>
            <w:pPr>
              <w:pStyle w:val="Compact"/>
              <w:jc w:val="center"/>
            </w:pPr>
            <w:r>
              <w:t xml:space="preserve">62</w:t>
            </w:r>
          </w:p>
        </w:tc>
        <w:tc>
          <w:tcPr/>
          <w:p>
            <w:pPr>
              <w:pStyle w:val="Compact"/>
              <w:jc w:val="center"/>
            </w:pPr>
            <w:r>
              <w:t xml:space="preserve">12.0</w:t>
            </w:r>
          </w:p>
        </w:tc>
      </w:tr>
      <w:tr>
        <w:tc>
          <w:tcPr/>
          <w:p>
            <w:pPr>
              <w:pStyle w:val="Compact"/>
              <w:jc w:val="right"/>
            </w:pPr>
            <w:r>
              <w:t xml:space="preserve">2019</w:t>
            </w:r>
          </w:p>
        </w:tc>
        <w:tc>
          <w:tcPr/>
          <w:p>
            <w:pPr>
              <w:pStyle w:val="Compact"/>
              <w:jc w:val="right"/>
            </w:pPr>
            <w:r>
              <w:t xml:space="preserve">78</w:t>
            </w:r>
          </w:p>
        </w:tc>
        <w:tc>
          <w:tcPr/>
          <w:p>
            <w:pPr>
              <w:pStyle w:val="Compact"/>
              <w:jc w:val="center"/>
            </w:pPr>
            <w:r>
              <w:t xml:space="preserve">631</w:t>
            </w:r>
          </w:p>
        </w:tc>
        <w:tc>
          <w:tcPr/>
          <w:p>
            <w:pPr>
              <w:pStyle w:val="Compact"/>
              <w:jc w:val="center"/>
            </w:pPr>
            <w:r>
              <w:t xml:space="preserve">629</w:t>
            </w:r>
          </w:p>
        </w:tc>
        <w:tc>
          <w:tcPr/>
          <w:p>
            <w:pPr>
              <w:pStyle w:val="Compact"/>
              <w:jc w:val="center"/>
            </w:pPr>
            <w:r>
              <w:t xml:space="preserve">87</w:t>
            </w:r>
          </w:p>
        </w:tc>
        <w:tc>
          <w:tcPr/>
          <w:p>
            <w:pPr>
              <w:pStyle w:val="Compact"/>
              <w:jc w:val="center"/>
            </w:pPr>
            <w:r>
              <w:t xml:space="preserve">7.2</w:t>
            </w:r>
          </w:p>
        </w:tc>
      </w:tr>
    </w:tbl>
    <w:p>
      <w:pPr>
        <w:pStyle w:val="BodyText"/>
      </w:pPr>
      <w:r>
        <w:t xml:space="preserve">Table 2. Summary of Snow Crab fisheries in South-Eastern Nova Scotia.</w:t>
      </w:r>
    </w:p>
    <w:p>
      <w:pPr>
        <w:pStyle w:val="TableCaption"/>
      </w:pPr>
      <w:bookmarkStart w:id="27" w:name="table2"/>
      <w:r>
        <w:t xml:space="preserve">Table </w:t>
      </w:r>
      <w:fldSimple w:instr="SEQ Table \* ARABIC ">
        <w:r>
          <w:t>2</w:t>
        </w:r>
      </w:fldSimple>
      <w:r>
        <w:t xml:space="preserve">:</w:t>
      </w:r>
      <w:bookmarkEnd w:id="27"/>
      <w:r>
        <w:t xml:space="preserve"> </w:t>
      </w:r>
      <w:r>
        <w:t xml:space="preserve">Table 2</w:t>
      </w:r>
    </w:p>
    <w:tbl>
      <w:tblPr>
        <w:tblStyle w:val="Table"/>
        <w:tblW w:type="pct" w:w="5000"/>
        <w:tblLook w:firstRow="1" w:lastRow="0" w:firstColumn="0" w:lastColumn="0" w:noHBand="0" w:noVBand="0" w:val="0020"/>
        <w:tblCaption w:val="Table 2"/>
      </w:tblPr>
      <w:tblGrid>
        <w:gridCol w:w="1075"/>
        <w:gridCol w:w="1466"/>
        <w:gridCol w:w="1075"/>
        <w:gridCol w:w="1271"/>
        <w:gridCol w:w="1271"/>
        <w:gridCol w:w="1760"/>
      </w:tblGrid>
      <w:tr>
        <w:trPr>
          <w:tblHeader w:val="true"/>
        </w:trPr>
        <w:tc>
          <w:tcPr/>
          <w:p>
            <w:pPr>
              <w:pStyle w:val="Compact"/>
              <w:jc w:val="right"/>
            </w:pPr>
            <w:r>
              <w:rPr>
                <w:bCs/>
                <w:b/>
              </w:rPr>
              <w:t xml:space="preserve">Year</w:t>
            </w:r>
          </w:p>
        </w:tc>
        <w:tc>
          <w:tcPr/>
          <w:p>
            <w:pPr>
              <w:pStyle w:val="Compact"/>
              <w:jc w:val="right"/>
            </w:pPr>
            <w:r>
              <w:rPr>
                <w:bCs/>
                <w:b/>
              </w:rPr>
              <w:t xml:space="preserve">Licenses</w:t>
            </w:r>
          </w:p>
        </w:tc>
        <w:tc>
          <w:tcPr/>
          <w:p>
            <w:pPr>
              <w:pStyle w:val="Compact"/>
              <w:jc w:val="center"/>
            </w:pPr>
            <w:r>
              <w:rPr>
                <w:bCs/>
                <w:b/>
              </w:rPr>
              <w:t xml:space="preserve">TAC</w:t>
            </w:r>
            <w:r>
              <w:rPr>
                <w:bCs/>
                <w:b/>
              </w:rPr>
              <w:t xml:space="preserve"> </w:t>
            </w:r>
            <w:r>
              <w:rPr>
                <w:bCs/>
                <w:b/>
              </w:rPr>
              <w:t xml:space="preserve">(t)</w:t>
            </w:r>
          </w:p>
        </w:tc>
        <w:tc>
          <w:tcPr/>
          <w:p>
            <w:pPr>
              <w:pStyle w:val="Compact"/>
              <w:jc w:val="center"/>
            </w:pPr>
            <w:r>
              <w:rPr>
                <w:bCs/>
                <w:b/>
              </w:rPr>
              <w:t xml:space="preserve">Landings</w:t>
            </w:r>
            <w:r>
              <w:rPr>
                <w:bCs/>
                <w:b/>
              </w:rPr>
              <w:t xml:space="preserve"> </w:t>
            </w:r>
            <w:r>
              <w:rPr>
                <w:bCs/>
                <w:b/>
              </w:rPr>
              <w:t xml:space="preserve">(t)</w:t>
            </w:r>
          </w:p>
        </w:tc>
        <w:tc>
          <w:tcPr/>
          <w:p>
            <w:pPr>
              <w:pStyle w:val="Compact"/>
              <w:jc w:val="center"/>
            </w:pPr>
            <w:r>
              <w:rPr>
                <w:bCs/>
                <w:b/>
              </w:rPr>
              <w:t xml:space="preserve">CPUE</w:t>
            </w:r>
            <w:r>
              <w:br/>
            </w:r>
            <w:r>
              <w:rPr>
                <w:bCs/>
                <w:b/>
              </w:rPr>
              <w:t xml:space="preserve">(kg/trap</w:t>
            </w:r>
            <w:r>
              <w:rPr>
                <w:bCs/>
                <w:b/>
              </w:rPr>
              <w:t xml:space="preserve"> </w:t>
            </w:r>
            <w:r>
              <w:rPr>
                <w:bCs/>
                <w:b/>
              </w:rPr>
              <w:t xml:space="preserve">haul)</w:t>
            </w:r>
          </w:p>
        </w:tc>
        <w:tc>
          <w:tcPr/>
          <w:p>
            <w:pPr>
              <w:pStyle w:val="Compact"/>
              <w:jc w:val="center"/>
            </w:pPr>
            <w:r>
              <w:rPr>
                <w:bCs/>
                <w:b/>
              </w:rPr>
              <w:t xml:space="preserve">Effort</w:t>
            </w:r>
            <w:r>
              <w:br/>
            </w:r>
            <w:r>
              <w:rPr>
                <w:bCs/>
                <w:b/>
              </w:rPr>
              <w:t xml:space="preserve">(x1000 trap</w:t>
            </w:r>
            <w:r>
              <w:rPr>
                <w:bCs/>
                <w:b/>
              </w:rPr>
              <w:t xml:space="preserve"> </w:t>
            </w:r>
            <w:r>
              <w:rPr>
                <w:bCs/>
                <w:b/>
              </w:rPr>
              <w:t xml:space="preserve">hauls)</w:t>
            </w:r>
          </w:p>
        </w:tc>
      </w:tr>
      <w:tr>
        <w:tc>
          <w:tcPr/>
          <w:p>
            <w:pPr>
              <w:pStyle w:val="Compact"/>
              <w:jc w:val="right"/>
            </w:pPr>
            <w:r>
              <w:t xml:space="preserve">2010</w:t>
            </w:r>
          </w:p>
        </w:tc>
        <w:tc>
          <w:tcPr/>
          <w:p>
            <w:pPr>
              <w:pStyle w:val="Compact"/>
              <w:jc w:val="right"/>
            </w:pPr>
            <w:r>
              <w:t xml:space="preserve">116</w:t>
            </w:r>
          </w:p>
        </w:tc>
        <w:tc>
          <w:tcPr/>
          <w:p>
            <w:pPr>
              <w:pStyle w:val="Compact"/>
              <w:jc w:val="center"/>
            </w:pPr>
            <w:r>
              <w:t xml:space="preserve">13,200</w:t>
            </w:r>
          </w:p>
        </w:tc>
        <w:tc>
          <w:tcPr/>
          <w:p>
            <w:pPr>
              <w:pStyle w:val="Compact"/>
              <w:jc w:val="center"/>
            </w:pPr>
            <w:r>
              <w:t xml:space="preserve">13,150</w:t>
            </w:r>
          </w:p>
        </w:tc>
        <w:tc>
          <w:tcPr/>
          <w:p>
            <w:pPr>
              <w:pStyle w:val="Compact"/>
              <w:jc w:val="center"/>
            </w:pPr>
            <w:r>
              <w:t xml:space="preserve">103</w:t>
            </w:r>
          </w:p>
        </w:tc>
        <w:tc>
          <w:tcPr/>
          <w:p>
            <w:pPr>
              <w:pStyle w:val="Compact"/>
              <w:jc w:val="center"/>
            </w:pPr>
            <w:r>
              <w:t xml:space="preserve">128.3</w:t>
            </w:r>
          </w:p>
        </w:tc>
      </w:tr>
      <w:tr>
        <w:tc>
          <w:tcPr/>
          <w:p>
            <w:pPr>
              <w:pStyle w:val="Compact"/>
              <w:jc w:val="right"/>
            </w:pPr>
            <w:r>
              <w:t xml:space="preserve">2011</w:t>
            </w:r>
          </w:p>
        </w:tc>
        <w:tc>
          <w:tcPr/>
          <w:p>
            <w:pPr>
              <w:pStyle w:val="Compact"/>
              <w:jc w:val="right"/>
            </w:pPr>
            <w:r>
              <w:t xml:space="preserve">116</w:t>
            </w:r>
          </w:p>
        </w:tc>
        <w:tc>
          <w:tcPr/>
          <w:p>
            <w:pPr>
              <w:pStyle w:val="Compact"/>
              <w:jc w:val="center"/>
            </w:pPr>
            <w:r>
              <w:t xml:space="preserve">12,120</w:t>
            </w:r>
          </w:p>
        </w:tc>
        <w:tc>
          <w:tcPr/>
          <w:p>
            <w:pPr>
              <w:pStyle w:val="Compact"/>
              <w:jc w:val="center"/>
            </w:pPr>
            <w:r>
              <w:t xml:space="preserve">12,135</w:t>
            </w:r>
          </w:p>
        </w:tc>
        <w:tc>
          <w:tcPr/>
          <w:p>
            <w:pPr>
              <w:pStyle w:val="Compact"/>
              <w:jc w:val="center"/>
            </w:pPr>
            <w:r>
              <w:t xml:space="preserve">106</w:t>
            </w:r>
          </w:p>
        </w:tc>
        <w:tc>
          <w:tcPr/>
          <w:p>
            <w:pPr>
              <w:pStyle w:val="Compact"/>
              <w:jc w:val="center"/>
            </w:pPr>
            <w:r>
              <w:t xml:space="preserve">118.8</w:t>
            </w:r>
          </w:p>
        </w:tc>
      </w:tr>
      <w:tr>
        <w:tc>
          <w:tcPr/>
          <w:p>
            <w:pPr>
              <w:pStyle w:val="Compact"/>
              <w:jc w:val="right"/>
            </w:pPr>
            <w:r>
              <w:t xml:space="preserve">2012</w:t>
            </w:r>
          </w:p>
        </w:tc>
        <w:tc>
          <w:tcPr/>
          <w:p>
            <w:pPr>
              <w:pStyle w:val="Compact"/>
              <w:jc w:val="right"/>
            </w:pPr>
            <w:r>
              <w:t xml:space="preserve">116</w:t>
            </w:r>
          </w:p>
        </w:tc>
        <w:tc>
          <w:tcPr/>
          <w:p>
            <w:pPr>
              <w:pStyle w:val="Compact"/>
              <w:jc w:val="center"/>
            </w:pPr>
            <w:r>
              <w:t xml:space="preserve">11,707</w:t>
            </w:r>
          </w:p>
        </w:tc>
        <w:tc>
          <w:tcPr/>
          <w:p>
            <w:pPr>
              <w:pStyle w:val="Compact"/>
              <w:jc w:val="center"/>
            </w:pPr>
            <w:r>
              <w:t xml:space="preserve">11,733</w:t>
            </w:r>
          </w:p>
        </w:tc>
        <w:tc>
          <w:tcPr/>
          <w:p>
            <w:pPr>
              <w:pStyle w:val="Compact"/>
              <w:jc w:val="center"/>
            </w:pPr>
            <w:r>
              <w:t xml:space="preserve">98</w:t>
            </w:r>
          </w:p>
        </w:tc>
        <w:tc>
          <w:tcPr/>
          <w:p>
            <w:pPr>
              <w:pStyle w:val="Compact"/>
              <w:jc w:val="center"/>
            </w:pPr>
            <w:r>
              <w:t xml:space="preserve">120</w:t>
            </w:r>
          </w:p>
        </w:tc>
      </w:tr>
      <w:tr>
        <w:tc>
          <w:tcPr/>
          <w:p>
            <w:pPr>
              <w:pStyle w:val="Compact"/>
              <w:jc w:val="right"/>
            </w:pPr>
            <w:r>
              <w:t xml:space="preserve">2013</w:t>
            </w:r>
          </w:p>
        </w:tc>
        <w:tc>
          <w:tcPr/>
          <w:p>
            <w:pPr>
              <w:pStyle w:val="Compact"/>
              <w:jc w:val="right"/>
            </w:pPr>
            <w:r>
              <w:t xml:space="preserve">116</w:t>
            </w:r>
          </w:p>
        </w:tc>
        <w:tc>
          <w:tcPr/>
          <w:p>
            <w:pPr>
              <w:pStyle w:val="Compact"/>
              <w:jc w:val="center"/>
            </w:pPr>
            <w:r>
              <w:t xml:space="preserve">11,311</w:t>
            </w:r>
          </w:p>
        </w:tc>
        <w:tc>
          <w:tcPr/>
          <w:p>
            <w:pPr>
              <w:pStyle w:val="Compact"/>
              <w:jc w:val="center"/>
            </w:pPr>
            <w:r>
              <w:t xml:space="preserve">11,309</w:t>
            </w:r>
          </w:p>
        </w:tc>
        <w:tc>
          <w:tcPr/>
          <w:p>
            <w:pPr>
              <w:pStyle w:val="Compact"/>
              <w:jc w:val="center"/>
            </w:pPr>
            <w:r>
              <w:t xml:space="preserve">104</w:t>
            </w:r>
          </w:p>
        </w:tc>
        <w:tc>
          <w:tcPr/>
          <w:p>
            <w:pPr>
              <w:pStyle w:val="Compact"/>
              <w:jc w:val="center"/>
            </w:pPr>
            <w:r>
              <w:t xml:space="preserve">108.7</w:t>
            </w:r>
          </w:p>
        </w:tc>
      </w:tr>
      <w:tr>
        <w:tc>
          <w:tcPr/>
          <w:p>
            <w:pPr>
              <w:pStyle w:val="Compact"/>
              <w:jc w:val="right"/>
            </w:pPr>
            <w:r>
              <w:t xml:space="preserve">2014</w:t>
            </w:r>
          </w:p>
        </w:tc>
        <w:tc>
          <w:tcPr/>
          <w:p>
            <w:pPr>
              <w:pStyle w:val="Compact"/>
              <w:jc w:val="right"/>
            </w:pPr>
            <w:r>
              <w:t xml:space="preserve">116</w:t>
            </w:r>
          </w:p>
        </w:tc>
        <w:tc>
          <w:tcPr/>
          <w:p>
            <w:pPr>
              <w:pStyle w:val="Compact"/>
              <w:jc w:val="center"/>
            </w:pPr>
            <w:r>
              <w:t xml:space="preserve">11,311</w:t>
            </w:r>
          </w:p>
        </w:tc>
        <w:tc>
          <w:tcPr/>
          <w:p>
            <w:pPr>
              <w:pStyle w:val="Compact"/>
              <w:jc w:val="center"/>
            </w:pPr>
            <w:r>
              <w:t xml:space="preserve">11,267</w:t>
            </w:r>
          </w:p>
        </w:tc>
        <w:tc>
          <w:tcPr/>
          <w:p>
            <w:pPr>
              <w:pStyle w:val="Compact"/>
              <w:jc w:val="center"/>
            </w:pPr>
            <w:r>
              <w:t xml:space="preserve">112</w:t>
            </w:r>
          </w:p>
        </w:tc>
        <w:tc>
          <w:tcPr/>
          <w:p>
            <w:pPr>
              <w:pStyle w:val="Compact"/>
              <w:jc w:val="center"/>
            </w:pPr>
            <w:r>
              <w:t xml:space="preserve">100.2</w:t>
            </w:r>
          </w:p>
        </w:tc>
      </w:tr>
      <w:tr>
        <w:tc>
          <w:tcPr/>
          <w:p>
            <w:pPr>
              <w:pStyle w:val="Compact"/>
              <w:jc w:val="right"/>
            </w:pPr>
            <w:r>
              <w:t xml:space="preserve">2015</w:t>
            </w:r>
          </w:p>
        </w:tc>
        <w:tc>
          <w:tcPr/>
          <w:p>
            <w:pPr>
              <w:pStyle w:val="Compact"/>
              <w:jc w:val="right"/>
            </w:pPr>
            <w:r>
              <w:t xml:space="preserve">116</w:t>
            </w:r>
          </w:p>
        </w:tc>
        <w:tc>
          <w:tcPr/>
          <w:p>
            <w:pPr>
              <w:pStyle w:val="Compact"/>
              <w:jc w:val="center"/>
            </w:pPr>
            <w:r>
              <w:t xml:space="preserve">11,311</w:t>
            </w:r>
          </w:p>
        </w:tc>
        <w:tc>
          <w:tcPr/>
          <w:p>
            <w:pPr>
              <w:pStyle w:val="Compact"/>
              <w:jc w:val="center"/>
            </w:pPr>
            <w:r>
              <w:t xml:space="preserve">11,292</w:t>
            </w:r>
          </w:p>
        </w:tc>
        <w:tc>
          <w:tcPr/>
          <w:p>
            <w:pPr>
              <w:pStyle w:val="Compact"/>
              <w:jc w:val="center"/>
            </w:pPr>
            <w:r>
              <w:t xml:space="preserve">106</w:t>
            </w:r>
          </w:p>
        </w:tc>
        <w:tc>
          <w:tcPr/>
          <w:p>
            <w:pPr>
              <w:pStyle w:val="Compact"/>
              <w:jc w:val="center"/>
            </w:pPr>
            <w:r>
              <w:t xml:space="preserve">106.5</w:t>
            </w:r>
          </w:p>
        </w:tc>
      </w:tr>
      <w:tr>
        <w:tc>
          <w:tcPr/>
          <w:p>
            <w:pPr>
              <w:pStyle w:val="Compact"/>
              <w:jc w:val="right"/>
            </w:pPr>
            <w:r>
              <w:t xml:space="preserve">2016</w:t>
            </w:r>
          </w:p>
        </w:tc>
        <w:tc>
          <w:tcPr/>
          <w:p>
            <w:pPr>
              <w:pStyle w:val="Compact"/>
              <w:jc w:val="right"/>
            </w:pPr>
            <w:r>
              <w:t xml:space="preserve">116</w:t>
            </w:r>
          </w:p>
        </w:tc>
        <w:tc>
          <w:tcPr/>
          <w:p>
            <w:pPr>
              <w:pStyle w:val="Compact"/>
              <w:jc w:val="center"/>
            </w:pPr>
            <w:r>
              <w:t xml:space="preserve">9,614</w:t>
            </w:r>
          </w:p>
        </w:tc>
        <w:tc>
          <w:tcPr/>
          <w:p>
            <w:pPr>
              <w:pStyle w:val="Compact"/>
              <w:jc w:val="center"/>
            </w:pPr>
            <w:r>
              <w:t xml:space="preserve">9,606</w:t>
            </w:r>
          </w:p>
        </w:tc>
        <w:tc>
          <w:tcPr/>
          <w:p>
            <w:pPr>
              <w:pStyle w:val="Compact"/>
              <w:jc w:val="center"/>
            </w:pPr>
            <w:r>
              <w:t xml:space="preserve">106</w:t>
            </w:r>
          </w:p>
        </w:tc>
        <w:tc>
          <w:tcPr/>
          <w:p>
            <w:pPr>
              <w:pStyle w:val="Compact"/>
              <w:jc w:val="center"/>
            </w:pPr>
            <w:r>
              <w:t xml:space="preserve">90.6</w:t>
            </w:r>
          </w:p>
        </w:tc>
      </w:tr>
      <w:tr>
        <w:tc>
          <w:tcPr/>
          <w:p>
            <w:pPr>
              <w:pStyle w:val="Compact"/>
              <w:jc w:val="right"/>
            </w:pPr>
            <w:r>
              <w:t xml:space="preserve">2017</w:t>
            </w:r>
          </w:p>
        </w:tc>
        <w:tc>
          <w:tcPr/>
          <w:p>
            <w:pPr>
              <w:pStyle w:val="Compact"/>
              <w:jc w:val="right"/>
            </w:pPr>
            <w:r>
              <w:t xml:space="preserve">116</w:t>
            </w:r>
          </w:p>
        </w:tc>
        <w:tc>
          <w:tcPr/>
          <w:p>
            <w:pPr>
              <w:pStyle w:val="Compact"/>
              <w:jc w:val="center"/>
            </w:pPr>
            <w:r>
              <w:t xml:space="preserve">6,730</w:t>
            </w:r>
          </w:p>
        </w:tc>
        <w:tc>
          <w:tcPr/>
          <w:p>
            <w:pPr>
              <w:pStyle w:val="Compact"/>
              <w:jc w:val="center"/>
            </w:pPr>
            <w:r>
              <w:t xml:space="preserve">6,719</w:t>
            </w:r>
          </w:p>
        </w:tc>
        <w:tc>
          <w:tcPr/>
          <w:p>
            <w:pPr>
              <w:pStyle w:val="Compact"/>
              <w:jc w:val="center"/>
            </w:pPr>
            <w:r>
              <w:t xml:space="preserve">94</w:t>
            </w:r>
          </w:p>
        </w:tc>
        <w:tc>
          <w:tcPr/>
          <w:p>
            <w:pPr>
              <w:pStyle w:val="Compact"/>
              <w:jc w:val="center"/>
            </w:pPr>
            <w:r>
              <w:t xml:space="preserve">71.5</w:t>
            </w:r>
          </w:p>
        </w:tc>
      </w:tr>
      <w:tr>
        <w:tc>
          <w:tcPr/>
          <w:p>
            <w:pPr>
              <w:pStyle w:val="Compact"/>
              <w:jc w:val="right"/>
            </w:pPr>
            <w:r>
              <w:t xml:space="preserve">2018</w:t>
            </w:r>
          </w:p>
        </w:tc>
        <w:tc>
          <w:tcPr/>
          <w:p>
            <w:pPr>
              <w:pStyle w:val="Compact"/>
              <w:jc w:val="right"/>
            </w:pPr>
            <w:r>
              <w:t xml:space="preserve">116</w:t>
            </w:r>
          </w:p>
        </w:tc>
        <w:tc>
          <w:tcPr/>
          <w:p>
            <w:pPr>
              <w:pStyle w:val="Compact"/>
              <w:jc w:val="center"/>
            </w:pPr>
            <w:r>
              <w:t xml:space="preserve">6,057</w:t>
            </w:r>
          </w:p>
        </w:tc>
        <w:tc>
          <w:tcPr/>
          <w:p>
            <w:pPr>
              <w:pStyle w:val="Compact"/>
              <w:jc w:val="center"/>
            </w:pPr>
            <w:r>
              <w:t xml:space="preserve">6,064</w:t>
            </w:r>
          </w:p>
        </w:tc>
        <w:tc>
          <w:tcPr/>
          <w:p>
            <w:pPr>
              <w:pStyle w:val="Compact"/>
              <w:jc w:val="center"/>
            </w:pPr>
            <w:r>
              <w:t xml:space="preserve">116</w:t>
            </w:r>
          </w:p>
        </w:tc>
        <w:tc>
          <w:tcPr/>
          <w:p>
            <w:pPr>
              <w:pStyle w:val="Compact"/>
              <w:jc w:val="center"/>
            </w:pPr>
            <w:r>
              <w:t xml:space="preserve">52.3</w:t>
            </w:r>
          </w:p>
        </w:tc>
      </w:tr>
      <w:tr>
        <w:tc>
          <w:tcPr/>
          <w:p>
            <w:pPr>
              <w:pStyle w:val="Compact"/>
              <w:jc w:val="right"/>
            </w:pPr>
            <w:r>
              <w:t xml:space="preserve">2019</w:t>
            </w:r>
          </w:p>
        </w:tc>
        <w:tc>
          <w:tcPr/>
          <w:p>
            <w:pPr>
              <w:pStyle w:val="Compact"/>
              <w:jc w:val="right"/>
            </w:pPr>
            <w:r>
              <w:t xml:space="preserve">116</w:t>
            </w:r>
          </w:p>
        </w:tc>
        <w:tc>
          <w:tcPr/>
          <w:p>
            <w:pPr>
              <w:pStyle w:val="Compact"/>
              <w:jc w:val="center"/>
            </w:pPr>
            <w:r>
              <w:t xml:space="preserve">6,663</w:t>
            </w:r>
          </w:p>
        </w:tc>
        <w:tc>
          <w:tcPr/>
          <w:p>
            <w:pPr>
              <w:pStyle w:val="Compact"/>
              <w:jc w:val="center"/>
            </w:pPr>
            <w:r>
              <w:t xml:space="preserve">6,632</w:t>
            </w:r>
          </w:p>
        </w:tc>
        <w:tc>
          <w:tcPr/>
          <w:p>
            <w:pPr>
              <w:pStyle w:val="Compact"/>
              <w:jc w:val="center"/>
            </w:pPr>
            <w:r>
              <w:t xml:space="preserve">105</w:t>
            </w:r>
          </w:p>
        </w:tc>
        <w:tc>
          <w:tcPr/>
          <w:p>
            <w:pPr>
              <w:pStyle w:val="Compact"/>
              <w:jc w:val="center"/>
            </w:pPr>
            <w:r>
              <w:t xml:space="preserve">63.2</w:t>
            </w:r>
          </w:p>
        </w:tc>
      </w:tr>
    </w:tbl>
    <w:p>
      <w:pPr>
        <w:pStyle w:val="BodyText"/>
      </w:pPr>
      <w:r>
        <w:t xml:space="preserve">Table 3. Summary of the Snow Crab fishery in 4X.</w:t>
      </w:r>
    </w:p>
    <w:p>
      <w:pPr>
        <w:pStyle w:val="TableCaption"/>
      </w:pPr>
      <w:bookmarkStart w:id="28" w:name="table3"/>
      <w:r>
        <w:t xml:space="preserve">Table </w:t>
      </w:r>
      <w:fldSimple w:instr="SEQ Table \* ARABIC ">
        <w:r>
          <w:t>3</w:t>
        </w:r>
      </w:fldSimple>
      <w:r>
        <w:t xml:space="preserve">:</w:t>
      </w:r>
      <w:bookmarkEnd w:id="28"/>
      <w:r>
        <w:t xml:space="preserve"> </w:t>
      </w:r>
      <w:r>
        <w:t xml:space="preserve">Table 3</w:t>
      </w:r>
    </w:p>
    <w:tbl>
      <w:tblPr>
        <w:tblStyle w:val="Table"/>
        <w:tblW w:type="pct" w:w="5000"/>
        <w:tblLook w:firstRow="1" w:lastRow="0" w:firstColumn="0" w:lastColumn="0" w:noHBand="0" w:noVBand="0" w:val="0020"/>
        <w:tblCaption w:val="Table 3"/>
      </w:tblPr>
      <w:tblGrid>
        <w:gridCol w:w="1240"/>
        <w:gridCol w:w="1431"/>
        <w:gridCol w:w="1049"/>
        <w:gridCol w:w="1240"/>
        <w:gridCol w:w="1240"/>
        <w:gridCol w:w="1717"/>
      </w:tblGrid>
      <w:tr>
        <w:trPr>
          <w:tblHeader w:val="true"/>
        </w:trPr>
        <w:tc>
          <w:tcPr/>
          <w:p>
            <w:pPr>
              <w:pStyle w:val="Compact"/>
              <w:jc w:val="right"/>
            </w:pPr>
            <w:r>
              <w:rPr>
                <w:bCs/>
                <w:b/>
              </w:rPr>
              <w:t xml:space="preserve">Season</w:t>
            </w:r>
          </w:p>
        </w:tc>
        <w:tc>
          <w:tcPr/>
          <w:p>
            <w:pPr>
              <w:pStyle w:val="Compact"/>
              <w:jc w:val="right"/>
            </w:pPr>
            <w:r>
              <w:rPr>
                <w:bCs/>
                <w:b/>
              </w:rPr>
              <w:t xml:space="preserve">Licenses</w:t>
            </w:r>
          </w:p>
        </w:tc>
        <w:tc>
          <w:tcPr/>
          <w:p>
            <w:pPr>
              <w:pStyle w:val="Compact"/>
              <w:jc w:val="center"/>
            </w:pPr>
            <w:r>
              <w:rPr>
                <w:bCs/>
                <w:b/>
              </w:rPr>
              <w:t xml:space="preserve">TAC</w:t>
            </w:r>
            <w:r>
              <w:rPr>
                <w:bCs/>
                <w:b/>
              </w:rPr>
              <w:t xml:space="preserve"> </w:t>
            </w:r>
            <w:r>
              <w:rPr>
                <w:bCs/>
                <w:b/>
              </w:rPr>
              <w:t xml:space="preserve">(t)</w:t>
            </w:r>
          </w:p>
        </w:tc>
        <w:tc>
          <w:tcPr/>
          <w:p>
            <w:pPr>
              <w:pStyle w:val="Compact"/>
              <w:jc w:val="center"/>
            </w:pPr>
            <w:r>
              <w:rPr>
                <w:bCs/>
                <w:b/>
              </w:rPr>
              <w:t xml:space="preserve">Landings</w:t>
            </w:r>
            <w:r>
              <w:rPr>
                <w:bCs/>
                <w:b/>
              </w:rPr>
              <w:t xml:space="preserve"> </w:t>
            </w:r>
            <w:r>
              <w:rPr>
                <w:bCs/>
                <w:b/>
              </w:rPr>
              <w:t xml:space="preserve">(t)</w:t>
            </w:r>
          </w:p>
        </w:tc>
        <w:tc>
          <w:tcPr/>
          <w:p>
            <w:pPr>
              <w:pStyle w:val="Compact"/>
              <w:jc w:val="center"/>
            </w:pPr>
            <w:r>
              <w:rPr>
                <w:bCs/>
                <w:b/>
              </w:rPr>
              <w:t xml:space="preserve">CPUE</w:t>
            </w:r>
            <w:r>
              <w:br/>
            </w:r>
            <w:r>
              <w:rPr>
                <w:bCs/>
                <w:b/>
              </w:rPr>
              <w:t xml:space="preserve">(kg/trap</w:t>
            </w:r>
            <w:r>
              <w:rPr>
                <w:bCs/>
                <w:b/>
              </w:rPr>
              <w:t xml:space="preserve"> </w:t>
            </w:r>
            <w:r>
              <w:rPr>
                <w:bCs/>
                <w:b/>
              </w:rPr>
              <w:t xml:space="preserve">haul)</w:t>
            </w:r>
          </w:p>
        </w:tc>
        <w:tc>
          <w:tcPr/>
          <w:p>
            <w:pPr>
              <w:pStyle w:val="Compact"/>
              <w:jc w:val="center"/>
            </w:pPr>
            <w:r>
              <w:rPr>
                <w:bCs/>
                <w:b/>
              </w:rPr>
              <w:t xml:space="preserve">Effort</w:t>
            </w:r>
            <w:r>
              <w:br/>
            </w:r>
            <w:r>
              <w:rPr>
                <w:bCs/>
                <w:b/>
              </w:rPr>
              <w:t xml:space="preserve">(x1000 trap</w:t>
            </w:r>
            <w:r>
              <w:rPr>
                <w:bCs/>
                <w:b/>
              </w:rPr>
              <w:t xml:space="preserve"> </w:t>
            </w:r>
            <w:r>
              <w:rPr>
                <w:bCs/>
                <w:b/>
              </w:rPr>
              <w:t xml:space="preserve">hauls)</w:t>
            </w:r>
          </w:p>
        </w:tc>
      </w:tr>
      <w:tr>
        <w:tc>
          <w:tcPr/>
          <w:p>
            <w:pPr>
              <w:pStyle w:val="Compact"/>
              <w:jc w:val="right"/>
            </w:pPr>
            <w:r>
              <w:t xml:space="preserve">2008/09</w:t>
            </w:r>
          </w:p>
        </w:tc>
        <w:tc>
          <w:tcPr/>
          <w:p>
            <w:pPr>
              <w:pStyle w:val="Compact"/>
              <w:jc w:val="right"/>
            </w:pPr>
            <w:r>
              <w:t xml:space="preserve">9</w:t>
            </w:r>
          </w:p>
        </w:tc>
        <w:tc>
          <w:tcPr/>
          <w:p>
            <w:pPr>
              <w:pStyle w:val="Compact"/>
              <w:jc w:val="center"/>
            </w:pPr>
            <w:r>
              <w:t xml:space="preserve">230</w:t>
            </w:r>
          </w:p>
        </w:tc>
        <w:tc>
          <w:tcPr/>
          <w:p>
            <w:pPr>
              <w:pStyle w:val="Compact"/>
              <w:jc w:val="center"/>
            </w:pPr>
            <w:r>
              <w:t xml:space="preserve">229</w:t>
            </w:r>
          </w:p>
        </w:tc>
        <w:tc>
          <w:tcPr/>
          <w:p>
            <w:pPr>
              <w:pStyle w:val="Compact"/>
              <w:jc w:val="center"/>
            </w:pPr>
            <w:r>
              <w:t xml:space="preserve">28</w:t>
            </w:r>
          </w:p>
        </w:tc>
        <w:tc>
          <w:tcPr/>
          <w:p>
            <w:pPr>
              <w:pStyle w:val="Compact"/>
              <w:jc w:val="center"/>
            </w:pPr>
            <w:r>
              <w:t xml:space="preserve">8.0</w:t>
            </w:r>
          </w:p>
        </w:tc>
      </w:tr>
      <w:tr>
        <w:tc>
          <w:tcPr/>
          <w:p>
            <w:pPr>
              <w:pStyle w:val="Compact"/>
              <w:jc w:val="right"/>
            </w:pPr>
            <w:r>
              <w:t xml:space="preserve">2009/10</w:t>
            </w:r>
          </w:p>
        </w:tc>
        <w:tc>
          <w:tcPr/>
          <w:p>
            <w:pPr>
              <w:pStyle w:val="Compact"/>
              <w:jc w:val="right"/>
            </w:pPr>
            <w:r>
              <w:t xml:space="preserve">9</w:t>
            </w:r>
          </w:p>
        </w:tc>
        <w:tc>
          <w:tcPr/>
          <w:p>
            <w:pPr>
              <w:pStyle w:val="Compact"/>
              <w:jc w:val="center"/>
            </w:pPr>
            <w:r>
              <w:t xml:space="preserve">230</w:t>
            </w:r>
          </w:p>
        </w:tc>
        <w:tc>
          <w:tcPr/>
          <w:p>
            <w:pPr>
              <w:pStyle w:val="Compact"/>
              <w:jc w:val="center"/>
            </w:pPr>
            <w:r>
              <w:t xml:space="preserve">229</w:t>
            </w:r>
          </w:p>
        </w:tc>
        <w:tc>
          <w:tcPr/>
          <w:p>
            <w:pPr>
              <w:pStyle w:val="Compact"/>
              <w:jc w:val="center"/>
            </w:pPr>
            <w:r>
              <w:t xml:space="preserve">36</w:t>
            </w:r>
          </w:p>
        </w:tc>
        <w:tc>
          <w:tcPr/>
          <w:p>
            <w:pPr>
              <w:pStyle w:val="Compact"/>
              <w:jc w:val="center"/>
            </w:pPr>
            <w:r>
              <w:t xml:space="preserve">6.4</w:t>
            </w:r>
          </w:p>
        </w:tc>
      </w:tr>
      <w:tr>
        <w:tc>
          <w:tcPr/>
          <w:p>
            <w:pPr>
              <w:pStyle w:val="Compact"/>
              <w:jc w:val="right"/>
            </w:pPr>
            <w:r>
              <w:t xml:space="preserve">2010/11</w:t>
            </w:r>
          </w:p>
        </w:tc>
        <w:tc>
          <w:tcPr/>
          <w:p>
            <w:pPr>
              <w:pStyle w:val="Compact"/>
              <w:jc w:val="right"/>
            </w:pPr>
            <w:r>
              <w:t xml:space="preserve">9</w:t>
            </w:r>
          </w:p>
        </w:tc>
        <w:tc>
          <w:tcPr/>
          <w:p>
            <w:pPr>
              <w:pStyle w:val="Compact"/>
              <w:jc w:val="center"/>
            </w:pPr>
            <w:r>
              <w:t xml:space="preserve">346</w:t>
            </w:r>
          </w:p>
        </w:tc>
        <w:tc>
          <w:tcPr/>
          <w:p>
            <w:pPr>
              <w:pStyle w:val="Compact"/>
              <w:jc w:val="center"/>
            </w:pPr>
            <w:r>
              <w:t xml:space="preserve">345</w:t>
            </w:r>
          </w:p>
        </w:tc>
        <w:tc>
          <w:tcPr/>
          <w:p>
            <w:pPr>
              <w:pStyle w:val="Compact"/>
              <w:jc w:val="center"/>
            </w:pPr>
            <w:r>
              <w:t xml:space="preserve">38</w:t>
            </w:r>
          </w:p>
        </w:tc>
        <w:tc>
          <w:tcPr/>
          <w:p>
            <w:pPr>
              <w:pStyle w:val="Compact"/>
              <w:jc w:val="center"/>
            </w:pPr>
            <w:r>
              <w:t xml:space="preserve">9.0</w:t>
            </w:r>
          </w:p>
        </w:tc>
      </w:tr>
      <w:tr>
        <w:tc>
          <w:tcPr/>
          <w:p>
            <w:pPr>
              <w:pStyle w:val="Compact"/>
              <w:jc w:val="right"/>
            </w:pPr>
            <w:r>
              <w:t xml:space="preserve">2011/12</w:t>
            </w:r>
          </w:p>
        </w:tc>
        <w:tc>
          <w:tcPr/>
          <w:p>
            <w:pPr>
              <w:pStyle w:val="Compact"/>
              <w:jc w:val="right"/>
            </w:pPr>
            <w:r>
              <w:t xml:space="preserve">9</w:t>
            </w:r>
          </w:p>
        </w:tc>
        <w:tc>
          <w:tcPr/>
          <w:p>
            <w:pPr>
              <w:pStyle w:val="Compact"/>
              <w:jc w:val="center"/>
            </w:pPr>
            <w:r>
              <w:t xml:space="preserve">346</w:t>
            </w:r>
          </w:p>
        </w:tc>
        <w:tc>
          <w:tcPr/>
          <w:p>
            <w:pPr>
              <w:pStyle w:val="Compact"/>
              <w:jc w:val="center"/>
            </w:pPr>
            <w:r>
              <w:t xml:space="preserve">344</w:t>
            </w:r>
          </w:p>
        </w:tc>
        <w:tc>
          <w:tcPr/>
          <w:p>
            <w:pPr>
              <w:pStyle w:val="Compact"/>
              <w:jc w:val="center"/>
            </w:pPr>
            <w:r>
              <w:t xml:space="preserve">29</w:t>
            </w:r>
          </w:p>
        </w:tc>
        <w:tc>
          <w:tcPr/>
          <w:p>
            <w:pPr>
              <w:pStyle w:val="Compact"/>
              <w:jc w:val="center"/>
            </w:pPr>
            <w:r>
              <w:t xml:space="preserve">11.8</w:t>
            </w:r>
          </w:p>
        </w:tc>
      </w:tr>
      <w:tr>
        <w:tc>
          <w:tcPr/>
          <w:p>
            <w:pPr>
              <w:pStyle w:val="Compact"/>
              <w:jc w:val="right"/>
            </w:pPr>
            <w:r>
              <w:t xml:space="preserve">2012/13</w:t>
            </w:r>
          </w:p>
        </w:tc>
        <w:tc>
          <w:tcPr/>
          <w:p>
            <w:pPr>
              <w:pStyle w:val="Compact"/>
              <w:jc w:val="right"/>
            </w:pPr>
            <w:r>
              <w:t xml:space="preserve">9</w:t>
            </w:r>
          </w:p>
        </w:tc>
        <w:tc>
          <w:tcPr/>
          <w:p>
            <w:pPr>
              <w:pStyle w:val="Compact"/>
              <w:jc w:val="center"/>
            </w:pPr>
            <w:r>
              <w:t xml:space="preserve">263</w:t>
            </w:r>
          </w:p>
        </w:tc>
        <w:tc>
          <w:tcPr/>
          <w:p>
            <w:pPr>
              <w:pStyle w:val="Compact"/>
              <w:jc w:val="center"/>
            </w:pPr>
            <w:r>
              <w:t xml:space="preserve">118</w:t>
            </w:r>
          </w:p>
        </w:tc>
        <w:tc>
          <w:tcPr/>
          <w:p>
            <w:pPr>
              <w:pStyle w:val="Compact"/>
              <w:jc w:val="center"/>
            </w:pPr>
            <w:r>
              <w:t xml:space="preserve">13</w:t>
            </w:r>
          </w:p>
        </w:tc>
        <w:tc>
          <w:tcPr/>
          <w:p>
            <w:pPr>
              <w:pStyle w:val="Compact"/>
              <w:jc w:val="center"/>
            </w:pPr>
            <w:r>
              <w:t xml:space="preserve">9.6</w:t>
            </w:r>
          </w:p>
        </w:tc>
      </w:tr>
      <w:tr>
        <w:tc>
          <w:tcPr/>
          <w:p>
            <w:pPr>
              <w:pStyle w:val="Compact"/>
              <w:jc w:val="right"/>
            </w:pPr>
            <w:r>
              <w:t xml:space="preserve">2013/14</w:t>
            </w:r>
          </w:p>
        </w:tc>
        <w:tc>
          <w:tcPr/>
          <w:p>
            <w:pPr>
              <w:pStyle w:val="Compact"/>
              <w:jc w:val="right"/>
            </w:pPr>
            <w:r>
              <w:t xml:space="preserve">9</w:t>
            </w:r>
          </w:p>
        </w:tc>
        <w:tc>
          <w:tcPr/>
          <w:p>
            <w:pPr>
              <w:pStyle w:val="Compact"/>
              <w:jc w:val="center"/>
            </w:pPr>
            <w:r>
              <w:t xml:space="preserve">80</w:t>
            </w:r>
          </w:p>
        </w:tc>
        <w:tc>
          <w:tcPr/>
          <w:p>
            <w:pPr>
              <w:pStyle w:val="Compact"/>
              <w:jc w:val="center"/>
            </w:pPr>
            <w:r>
              <w:t xml:space="preserve">79</w:t>
            </w:r>
          </w:p>
        </w:tc>
        <w:tc>
          <w:tcPr/>
          <w:p>
            <w:pPr>
              <w:pStyle w:val="Compact"/>
              <w:jc w:val="center"/>
            </w:pPr>
            <w:r>
              <w:t xml:space="preserve">15</w:t>
            </w:r>
          </w:p>
        </w:tc>
        <w:tc>
          <w:tcPr/>
          <w:p>
            <w:pPr>
              <w:pStyle w:val="Compact"/>
              <w:jc w:val="center"/>
            </w:pPr>
            <w:r>
              <w:t xml:space="preserve">5.1</w:t>
            </w:r>
          </w:p>
        </w:tc>
      </w:tr>
      <w:tr>
        <w:tc>
          <w:tcPr/>
          <w:p>
            <w:pPr>
              <w:pStyle w:val="Compact"/>
              <w:jc w:val="right"/>
            </w:pPr>
            <w:r>
              <w:t xml:space="preserve">2014/15</w:t>
            </w:r>
          </w:p>
        </w:tc>
        <w:tc>
          <w:tcPr/>
          <w:p>
            <w:pPr>
              <w:pStyle w:val="Compact"/>
              <w:jc w:val="right"/>
            </w:pPr>
            <w:r>
              <w:t xml:space="preserve">9</w:t>
            </w:r>
          </w:p>
        </w:tc>
        <w:tc>
          <w:tcPr/>
          <w:p>
            <w:pPr>
              <w:pStyle w:val="Compact"/>
              <w:jc w:val="center"/>
            </w:pPr>
            <w:r>
              <w:t xml:space="preserve">80</w:t>
            </w:r>
          </w:p>
        </w:tc>
        <w:tc>
          <w:tcPr/>
          <w:p>
            <w:pPr>
              <w:pStyle w:val="Compact"/>
              <w:jc w:val="center"/>
            </w:pPr>
            <w:r>
              <w:t xml:space="preserve">82</w:t>
            </w:r>
          </w:p>
        </w:tc>
        <w:tc>
          <w:tcPr/>
          <w:p>
            <w:pPr>
              <w:pStyle w:val="Compact"/>
              <w:jc w:val="center"/>
            </w:pPr>
            <w:r>
              <w:t xml:space="preserve">34</w:t>
            </w:r>
          </w:p>
        </w:tc>
        <w:tc>
          <w:tcPr/>
          <w:p>
            <w:pPr>
              <w:pStyle w:val="Compact"/>
              <w:jc w:val="center"/>
            </w:pPr>
            <w:r>
              <w:t xml:space="preserve">1.7</w:t>
            </w:r>
          </w:p>
        </w:tc>
      </w:tr>
      <w:tr>
        <w:tc>
          <w:tcPr/>
          <w:p>
            <w:pPr>
              <w:pStyle w:val="Compact"/>
              <w:jc w:val="right"/>
            </w:pPr>
            <w:r>
              <w:t xml:space="preserve">2015/16</w:t>
            </w:r>
          </w:p>
        </w:tc>
        <w:tc>
          <w:tcPr/>
          <w:p>
            <w:pPr>
              <w:pStyle w:val="Compact"/>
              <w:jc w:val="right"/>
            </w:pPr>
            <w:r>
              <w:t xml:space="preserve">9</w:t>
            </w:r>
          </w:p>
        </w:tc>
        <w:tc>
          <w:tcPr/>
          <w:p>
            <w:pPr>
              <w:pStyle w:val="Compact"/>
              <w:jc w:val="center"/>
            </w:pPr>
            <w:r>
              <w:t xml:space="preserve">150</w:t>
            </w:r>
          </w:p>
        </w:tc>
        <w:tc>
          <w:tcPr/>
          <w:p>
            <w:pPr>
              <w:pStyle w:val="Compact"/>
              <w:jc w:val="center"/>
            </w:pPr>
            <w:r>
              <w:t xml:space="preserve">142</w:t>
            </w:r>
          </w:p>
        </w:tc>
        <w:tc>
          <w:tcPr/>
          <w:p>
            <w:pPr>
              <w:pStyle w:val="Compact"/>
              <w:jc w:val="center"/>
            </w:pPr>
            <w:r>
              <w:t xml:space="preserve">31</w:t>
            </w:r>
          </w:p>
        </w:tc>
        <w:tc>
          <w:tcPr/>
          <w:p>
            <w:pPr>
              <w:pStyle w:val="Compact"/>
              <w:jc w:val="center"/>
            </w:pPr>
            <w:r>
              <w:t xml:space="preserve">4.6</w:t>
            </w:r>
          </w:p>
        </w:tc>
      </w:tr>
      <w:tr>
        <w:tc>
          <w:tcPr/>
          <w:p>
            <w:pPr>
              <w:pStyle w:val="Compact"/>
              <w:jc w:val="right"/>
            </w:pPr>
            <w:r>
              <w:t xml:space="preserve">2016/17</w:t>
            </w:r>
          </w:p>
        </w:tc>
        <w:tc>
          <w:tcPr/>
          <w:p>
            <w:pPr>
              <w:pStyle w:val="Compact"/>
              <w:jc w:val="right"/>
            </w:pPr>
            <w:r>
              <w:t xml:space="preserve">9</w:t>
            </w:r>
          </w:p>
        </w:tc>
        <w:tc>
          <w:tcPr/>
          <w:p>
            <w:pPr>
              <w:pStyle w:val="Compact"/>
              <w:jc w:val="center"/>
            </w:pPr>
            <w:r>
              <w:t xml:space="preserve">80</w:t>
            </w:r>
          </w:p>
        </w:tc>
        <w:tc>
          <w:tcPr/>
          <w:p>
            <w:pPr>
              <w:pStyle w:val="Compact"/>
              <w:jc w:val="center"/>
            </w:pPr>
            <w:r>
              <w:t xml:space="preserve">80</w:t>
            </w:r>
          </w:p>
        </w:tc>
        <w:tc>
          <w:tcPr/>
          <w:p>
            <w:pPr>
              <w:pStyle w:val="Compact"/>
              <w:jc w:val="center"/>
            </w:pPr>
            <w:r>
              <w:t xml:space="preserve">25</w:t>
            </w:r>
          </w:p>
        </w:tc>
        <w:tc>
          <w:tcPr/>
          <w:p>
            <w:pPr>
              <w:pStyle w:val="Compact"/>
              <w:jc w:val="center"/>
            </w:pPr>
            <w:r>
              <w:t xml:space="preserve">3.2</w:t>
            </w:r>
          </w:p>
        </w:tc>
      </w:tr>
      <w:tr>
        <w:tc>
          <w:tcPr/>
          <w:p>
            <w:pPr>
              <w:pStyle w:val="Compact"/>
              <w:jc w:val="right"/>
            </w:pPr>
            <w:r>
              <w:t xml:space="preserve">2017/18</w:t>
            </w:r>
          </w:p>
        </w:tc>
        <w:tc>
          <w:tcPr/>
          <w:p>
            <w:pPr>
              <w:pStyle w:val="Compact"/>
              <w:jc w:val="right"/>
            </w:pPr>
            <w:r>
              <w:t xml:space="preserve">9</w:t>
            </w:r>
          </w:p>
        </w:tc>
        <w:tc>
          <w:tcPr/>
          <w:p>
            <w:pPr>
              <w:pStyle w:val="Compact"/>
              <w:jc w:val="center"/>
            </w:pPr>
            <w:r>
              <w:t xml:space="preserve">110</w:t>
            </w:r>
          </w:p>
        </w:tc>
        <w:tc>
          <w:tcPr/>
          <w:p>
            <w:pPr>
              <w:pStyle w:val="Compact"/>
              <w:jc w:val="center"/>
            </w:pPr>
            <w:r>
              <w:t xml:space="preserve">55</w:t>
            </w:r>
          </w:p>
        </w:tc>
        <w:tc>
          <w:tcPr/>
          <w:p>
            <w:pPr>
              <w:pStyle w:val="Compact"/>
              <w:jc w:val="center"/>
            </w:pPr>
            <w:r>
              <w:t xml:space="preserve">12</w:t>
            </w:r>
          </w:p>
        </w:tc>
        <w:tc>
          <w:tcPr/>
          <w:p>
            <w:pPr>
              <w:pStyle w:val="Compact"/>
              <w:jc w:val="center"/>
            </w:pPr>
            <w:r>
              <w:t xml:space="preserve">4.6</w:t>
            </w:r>
          </w:p>
        </w:tc>
      </w:tr>
      <w:tr>
        <w:tc>
          <w:tcPr/>
          <w:p>
            <w:pPr>
              <w:pStyle w:val="Compact"/>
              <w:jc w:val="right"/>
            </w:pPr>
            <w:r>
              <w:t xml:space="preserve">2018/19</w:t>
            </w:r>
            <w:r>
              <w:rPr>
                <w:vertAlign w:val="superscript"/>
              </w:rPr>
              <w:t xml:space="preserve">1</w:t>
            </w:r>
          </w:p>
        </w:tc>
        <w:tc>
          <w:tcPr/>
          <w:p>
            <w:pPr>
              <w:pStyle w:val="Compact"/>
              <w:jc w:val="right"/>
            </w:pPr>
            <w:r>
              <w:t xml:space="preserve">9</w:t>
            </w:r>
          </w:p>
        </w:tc>
        <w:tc>
          <w:tcPr/>
          <w:p>
            <w:pPr>
              <w:pStyle w:val="Compact"/>
              <w:jc w:val="center"/>
            </w:pPr>
            <w:r>
              <w:t xml:space="preserve">0</w:t>
            </w:r>
          </w:p>
        </w:tc>
        <w:tc>
          <w:tcPr/>
          <w:p>
            <w:pPr>
              <w:pStyle w:val="Compact"/>
              <w:jc w:val="center"/>
            </w:pPr>
            <w:r>
              <w:t xml:space="preserve">-</w:t>
            </w:r>
          </w:p>
        </w:tc>
        <w:tc>
          <w:tcPr/>
          <w:p>
            <w:pPr>
              <w:pStyle w:val="Compact"/>
              <w:jc w:val="center"/>
            </w:pPr>
            <w:r>
              <w:t xml:space="preserve">-</w:t>
            </w:r>
          </w:p>
        </w:tc>
        <w:tc>
          <w:tcPr/>
          <w:p>
            <w:pPr>
              <w:pStyle w:val="Compact"/>
              <w:jc w:val="center"/>
            </w:pPr>
            <w:r>
              <w:t xml:space="preserve">-</w:t>
            </w:r>
          </w:p>
        </w:tc>
      </w:tr>
      <w:tr>
        <w:tc>
          <w:tcPr/>
          <w:p>
            <w:pPr>
              <w:pStyle w:val="Compact"/>
              <w:jc w:val="right"/>
            </w:pPr>
            <w:r>
              <w:t xml:space="preserve">2019/20</w:t>
            </w:r>
            <w:r>
              <w:rPr>
                <w:vertAlign w:val="superscript"/>
              </w:rPr>
              <w:t xml:space="preserve">2</w:t>
            </w:r>
          </w:p>
        </w:tc>
        <w:tc>
          <w:tcPr/>
          <w:p>
            <w:pPr>
              <w:pStyle w:val="Compact"/>
              <w:jc w:val="right"/>
            </w:pPr>
            <w:r>
              <w:t xml:space="preserve">9</w:t>
            </w:r>
          </w:p>
        </w:tc>
        <w:tc>
          <w:tcPr/>
          <w:p>
            <w:pPr>
              <w:pStyle w:val="Compact"/>
              <w:jc w:val="center"/>
            </w:pPr>
            <w:r>
              <w:t xml:space="preserve">55</w:t>
            </w:r>
          </w:p>
        </w:tc>
        <w:tc>
          <w:tcPr/>
          <w:p>
            <w:pPr>
              <w:pStyle w:val="Compact"/>
              <w:jc w:val="center"/>
            </w:pPr>
            <w:r>
              <w:t xml:space="preserve">52</w:t>
            </w:r>
          </w:p>
        </w:tc>
        <w:tc>
          <w:tcPr/>
          <w:p>
            <w:pPr>
              <w:pStyle w:val="Compact"/>
              <w:jc w:val="center"/>
            </w:pPr>
            <w:r>
              <w:t xml:space="preserve">51</w:t>
            </w:r>
          </w:p>
        </w:tc>
        <w:tc>
          <w:tcPr/>
          <w:p>
            <w:pPr>
              <w:pStyle w:val="Compact"/>
            </w:pPr>
          </w:p>
        </w:tc>
      </w:tr>
    </w:tbl>
    <w:p>
      <w:pPr>
        <w:pStyle w:val="BodyText"/>
      </w:pPr>
      <w:r>
        <w:t xml:space="preserve">Note:</w:t>
      </w:r>
      <w:r>
        <w:t xml:space="preserve"> </w:t>
      </w:r>
      <w:r>
        <w:rPr>
          <w:vertAlign w:val="superscript"/>
        </w:rPr>
        <w:t xml:space="preserve">1</w:t>
      </w:r>
      <w:r>
        <w:t xml:space="preserve">No fishery (0 TAC) due to low commercial biomass. Dash (-)</w:t>
      </w:r>
      <w:r>
        <w:t xml:space="preserve"> </w:t>
      </w:r>
      <w:r>
        <w:t xml:space="preserve">represents no data.</w:t>
      </w:r>
    </w:p>
    <w:p>
      <w:pPr>
        <w:pStyle w:val="BodyText"/>
      </w:pPr>
      <w:r>
        <w:rPr>
          <w:vertAlign w:val="superscript"/>
        </w:rPr>
        <w:t xml:space="preserve">2</w:t>
      </w:r>
      <w:r>
        <w:t xml:space="preserve">Season ongoing.</w:t>
      </w:r>
    </w:p>
    <w:p>
      <w:pPr>
        <w:pStyle w:val="BodyText"/>
      </w:pPr>
      <w:r>
        <w:t xml:space="preserve">In 2019, the majority of N-ENS landings came almost exclusively from the</w:t>
      </w:r>
      <w:r>
        <w:t xml:space="preserve"> </w:t>
      </w:r>
      <w:r>
        <w:t xml:space="preserve">inner grounds, not the Glace Bay Hole (Figure 1). In S-ENS, a general</w:t>
      </w:r>
      <w:r>
        <w:t xml:space="preserve"> </w:t>
      </w:r>
      <w:r>
        <w:t xml:space="preserve">offshore shift of landings was observed from the 2018 season (Map 1).</w:t>
      </w:r>
      <w:r>
        <w:t xml:space="preserve"> </w:t>
      </w:r>
      <w:r>
        <w:t xml:space="preserve">There were no landings on the continental slope areas of S-ENS in 2019.</w:t>
      </w:r>
      <w:r>
        <w:t xml:space="preserve"> </w:t>
      </w:r>
      <w:r>
        <w:t xml:space="preserve">In 4X, there were no landings due to a zero TAC.</w:t>
      </w:r>
    </w:p>
    <w:p>
      <w:pPr>
        <w:pStyle w:val="BodyText"/>
      </w:pPr>
      <w:r>
        <w:t xml:space="preserve">Non-standardized catch rates in 2019 were 87 kg/trap haul in N-ENS and</w:t>
      </w:r>
      <w:r>
        <w:t xml:space="preserve"> </w:t>
      </w:r>
      <w:r>
        <w:t xml:space="preserve">105 kg/trap haul in S‑ENS. This represents an increase of 40% (N-ENS)</w:t>
      </w:r>
      <w:r>
        <w:t xml:space="preserve"> </w:t>
      </w:r>
      <w:r>
        <w:t xml:space="preserve">and a decrease of 9% (S-ENS) relative to the previous year (Tables 1-3,</w:t>
      </w:r>
      <w:r>
        <w:t xml:space="preserve"> </w:t>
      </w:r>
      <w:r>
        <w:t xml:space="preserve">Figure 3, Map 2). The effect of TACs on catch rates can confound direct</w:t>
      </w:r>
      <w:r>
        <w:t xml:space="preserve"> </w:t>
      </w:r>
      <w:r>
        <w:t xml:space="preserve">comparison over time and between management areas.</w:t>
      </w:r>
    </w:p>
    <w:p>
      <w:pPr>
        <w:pStyle w:val="BodyText"/>
      </w:pPr>
      <w:r>
        <w:drawing>
          <wp:inline>
            <wp:extent cx="5943600" cy="5943600"/>
            <wp:effectExtent b="0" l="0" r="0" t="0"/>
            <wp:docPr descr="" title="" id="1" name="Picture"/>
            <a:graphic>
              <a:graphicData uri="http://schemas.openxmlformats.org/drawingml/2006/picture">
                <pic:pic>
                  <pic:nvPicPr>
                    <pic:cNvPr descr="media/cpue_timeseries.png" id="0" name="Picture"/>
                    <pic:cNvPicPr>
                      <a:picLocks noChangeArrowheads="1" noChangeAspect="1"/>
                    </pic:cNvPicPr>
                  </pic:nvPicPr>
                  <pic:blipFill>
                    <a:blip r:embed="rId29"/>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t xml:space="preserve">Figure 3. Temporal variations in catch rates of Snow Crab on the Scotian</w:t>
      </w:r>
      <w:r>
        <w:t xml:space="preserve"> </w:t>
      </w:r>
      <w:r>
        <w:t xml:space="preserve">Shelf, expressed as kg per trap haul. Trap design and size have changed</w:t>
      </w:r>
      <w:r>
        <w:t xml:space="preserve"> </w:t>
      </w:r>
      <w:r>
        <w:t xml:space="preserve">over time. No corrections have been made for variation in trap-types,</w:t>
      </w:r>
      <w:r>
        <w:t xml:space="preserve"> </w:t>
      </w:r>
      <w:r>
        <w:t xml:space="preserve">soak time, or bait-type.</w:t>
      </w:r>
    </w:p>
    <w:p>
      <w:pPr>
        <w:pStyle w:val="BodyText"/>
      </w:pPr>
      <w:r>
        <w:t xml:space="preserve">Carapace Condition (CC) defines the approximate age (since terminal</w:t>
      </w:r>
      <w:r>
        <w:t xml:space="preserve"> </w:t>
      </w:r>
      <w:r>
        <w:t xml:space="preserve">moult) of the terminally moulted crab based on the relative development</w:t>
      </w:r>
      <w:r>
        <w:t xml:space="preserve"> </w:t>
      </w:r>
      <w:r>
        <w:t xml:space="preserve">and subsequent decay of the carapace. CC1 signifies a newly moulted</w:t>
      </w:r>
      <w:r>
        <w:t xml:space="preserve"> </w:t>
      </w:r>
      <w:r>
        <w:t xml:space="preserve">crab, soft-shelled, with no epibiont (e.g., barnacles) growth. CC2 has</w:t>
      </w:r>
      <w:r>
        <w:t xml:space="preserve"> </w:t>
      </w:r>
      <w:r>
        <w:t xml:space="preserve">begun to harden, but is still considered to be soft and of no commercial</w:t>
      </w:r>
      <w:r>
        <w:t xml:space="preserve"> </w:t>
      </w:r>
      <w:r>
        <w:t xml:space="preserve">value. CC3 and CC4 represent ideal commercial crab. The oldest carapace</w:t>
      </w:r>
      <w:r>
        <w:t xml:space="preserve"> </w:t>
      </w:r>
      <w:r>
        <w:t xml:space="preserve">condition (CC5) signifies extensive shell decay with no expectation of</w:t>
      </w:r>
      <w:r>
        <w:t xml:space="preserve"> </w:t>
      </w:r>
      <w:r>
        <w:t xml:space="preserve">survival into the next year.</w:t>
      </w:r>
    </w:p>
    <w:p>
      <w:pPr>
        <w:pStyle w:val="BodyText"/>
      </w:pPr>
      <w:r>
        <w:t xml:space="preserve">In N-ENS, CC1 and CC2 crab collectively represented approximately 3% of</w:t>
      </w:r>
      <w:r>
        <w:t xml:space="preserve"> </w:t>
      </w:r>
      <w:r>
        <w:t xml:space="preserve">the total catch, relative to 28% in 2018 (Figure 4). The relative</w:t>
      </w:r>
      <w:r>
        <w:t xml:space="preserve"> </w:t>
      </w:r>
      <w:r>
        <w:t xml:space="preserve">decrease in CC2 was accompanied by a proportional increase in CC3. CC4</w:t>
      </w:r>
      <w:r>
        <w:t xml:space="preserve"> </w:t>
      </w:r>
      <w:r>
        <w:t xml:space="preserve">levels were consistent from the previous season. CC5 levels remain</w:t>
      </w:r>
      <w:r>
        <w:t xml:space="preserve"> </w:t>
      </w:r>
      <w:r>
        <w:t xml:space="preserve">negligible. Observed CC1 and CC2 crab were caught mostly in the summer</w:t>
      </w:r>
      <w:r>
        <w:t xml:space="preserve"> </w:t>
      </w:r>
      <w:r>
        <w:t xml:space="preserve">fishery in 2018 and 2019. The spring season (2008-present) was adopted</w:t>
      </w:r>
      <w:r>
        <w:t xml:space="preserve"> </w:t>
      </w:r>
      <w:r>
        <w:t xml:space="preserve">to reduce fishing intensity in the summer season and to encourage</w:t>
      </w:r>
      <w:r>
        <w:t xml:space="preserve"> </w:t>
      </w:r>
      <w:r>
        <w:t xml:space="preserve">fishing during the earlier period when newly moulted crab are too weak</w:t>
      </w:r>
      <w:r>
        <w:t xml:space="preserve"> </w:t>
      </w:r>
      <w:r>
        <w:t xml:space="preserve">and soft to easily enter into traps. After a successful trial in 2008,</w:t>
      </w:r>
      <w:r>
        <w:t xml:space="preserve"> </w:t>
      </w:r>
      <w:r>
        <w:t xml:space="preserve">the majority of landings (&gt;60%) from N-ENS have been caught during the</w:t>
      </w:r>
      <w:r>
        <w:t xml:space="preserve"> </w:t>
      </w:r>
      <w:r>
        <w:t xml:space="preserve">spring season. A larger percentage of the 2019 TAC was caught in the</w:t>
      </w:r>
      <w:r>
        <w:t xml:space="preserve"> </w:t>
      </w:r>
      <w:r>
        <w:t xml:space="preserve">spring (compared to 2018) and soft crab levels lowered. The mean size of</w:t>
      </w:r>
      <w:r>
        <w:t xml:space="preserve"> </w:t>
      </w:r>
      <w:r>
        <w:t xml:space="preserve">crabs caught in N-ENS had been increasing between 2008 and 2016,</w:t>
      </w:r>
      <w:r>
        <w:t xml:space="preserve"> </w:t>
      </w:r>
      <w:r>
        <w:t xml:space="preserve">suggesting higher survival of immature crab (lack of handling mortality</w:t>
      </w:r>
      <w:r>
        <w:t xml:space="preserve"> </w:t>
      </w:r>
      <w:r>
        <w:t xml:space="preserve">of soft-shelled crab) and a decreased dependence on newly recruited</w:t>
      </w:r>
      <w:r>
        <w:t xml:space="preserve"> </w:t>
      </w:r>
      <w:r>
        <w:t xml:space="preserve">animals. This increasing mean size of crab in N-ENS had contributed to</w:t>
      </w:r>
      <w:r>
        <w:t xml:space="preserve"> </w:t>
      </w:r>
      <w:r>
        <w:t xml:space="preserve">increased catch rates (on a kg/trap basis). The mean size of the</w:t>
      </w:r>
      <w:r>
        <w:t xml:space="preserve"> </w:t>
      </w:r>
      <w:r>
        <w:t xml:space="preserve">commercial crab caught in N-ENS has decreased the last three seasons and</w:t>
      </w:r>
      <w:r>
        <w:t xml:space="preserve"> </w:t>
      </w:r>
      <w:r>
        <w:t xml:space="preserve">is likely evidence of the leading edge of a recruitment pulse entering</w:t>
      </w:r>
      <w:r>
        <w:t xml:space="preserve"> </w:t>
      </w:r>
      <w:r>
        <w:t xml:space="preserve">the fishery, following a period of little or no recruitment.</w:t>
      </w:r>
    </w:p>
    <w:p>
      <w:pPr>
        <w:pStyle w:val="BodyText"/>
      </w:pPr>
      <w:r>
        <w:t xml:space="preserve">In S-ENS, the occurrence of CC1 crab remains low, at &lt;1% (Figure 4).</w:t>
      </w:r>
      <w:r>
        <w:t xml:space="preserve"> </w:t>
      </w:r>
      <w:r>
        <w:t xml:space="preserve">The proportion of CC2 crab in the catch has remained constant since</w:t>
      </w:r>
      <w:r>
        <w:t xml:space="preserve"> </w:t>
      </w:r>
      <w:r>
        <w:t xml:space="preserve">2017, at approximately 6%. CC3 dominated the catch (approximately 63%).</w:t>
      </w:r>
      <w:r>
        <w:t xml:space="preserve"> </w:t>
      </w:r>
      <w:r>
        <w:t xml:space="preserve">CC4 incidence rose to 31% from 8% in 2018.</w:t>
      </w:r>
    </w:p>
    <w:p>
      <w:pPr>
        <w:pStyle w:val="BodyText"/>
      </w:pPr>
      <w:r>
        <w:t xml:space="preserve">Senescent (CC5) crab represented less than 1% of the total observed</w:t>
      </w:r>
      <w:r>
        <w:t xml:space="preserve"> </w:t>
      </w:r>
      <w:r>
        <w:t xml:space="preserve">catch and survey catches in all areas.</w:t>
      </w:r>
    </w:p>
    <w:p>
      <w:pPr>
        <w:pStyle w:val="BodyText"/>
      </w:pPr>
      <w:r>
        <w:t xml:space="preserve">In N-ENS, the estimated soft-shell crab discard rate (percentage of</w:t>
      </w:r>
      <w:r>
        <w:t xml:space="preserve"> </w:t>
      </w:r>
      <w:r>
        <w:t xml:space="preserve">total landings as determined by at-sea observer sampling) was 5% in</w:t>
      </w:r>
      <w:r>
        <w:t xml:space="preserve"> </w:t>
      </w:r>
      <w:r>
        <w:t xml:space="preserve">2019, a decrease from 25% in 2018 (the highest level in 10 years). In</w:t>
      </w:r>
      <w:r>
        <w:t xml:space="preserve"> </w:t>
      </w:r>
      <w:r>
        <w:t xml:space="preserve">S-ENS, the 2019 estimated soft-shell discards were 2% of landings, and</w:t>
      </w:r>
      <w:r>
        <w:t xml:space="preserve"> </w:t>
      </w:r>
      <w:r>
        <w:t xml:space="preserve">is consistent with the 2018 estimate. Soft-shelled discards are</w:t>
      </w:r>
      <w:r>
        <w:t xml:space="preserve"> </w:t>
      </w:r>
      <w:r>
        <w:t xml:space="preserve">generally negligible in 4X, due to season timing. Maximizing spring</w:t>
      </w:r>
      <w:r>
        <w:t xml:space="preserve"> </w:t>
      </w:r>
      <w:r>
        <w:t xml:space="preserve">fishing efforts will limit this source of Snow Crab mortality, that is</w:t>
      </w:r>
      <w:r>
        <w:t xml:space="preserve"> </w:t>
      </w:r>
      <w:r>
        <w:t xml:space="preserve">incidental to the fishery removals.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right"/>
            </w:pPr>
            <w:r>
              <w:t xml:space="preserve">[](media/sizefreq_obs_nens2018.png</w:t>
            </w:r>
          </w:p>
        </w:tc>
        <w:tc>
          <w:tcPr/>
          <w:p>
            <w:pPr>
              <w:pStyle w:val="Compact"/>
              <w:jc w:val="left"/>
            </w:pPr>
            <w:r>
              <w:t xml:space="preserve">)</w:t>
            </w:r>
            <w:r>
              <w:t xml:space="preserve"> </w:t>
            </w:r>
            <w:r>
              <w:drawing>
                <wp:inline>
                  <wp:extent cx="5943600" cy="4927784"/>
                  <wp:effectExtent b="0" l="0" r="0" t="0"/>
                  <wp:docPr descr="" title="" id="1" name="Picture"/>
                  <a:graphic>
                    <a:graphicData uri="http://schemas.openxmlformats.org/drawingml/2006/picture">
                      <pic:pic>
                        <pic:nvPicPr>
                          <pic:cNvPr descr="media/sizefreq_obs_nens2019.png" id="0" name="Picture"/>
                          <pic:cNvPicPr>
                            <a:picLocks noChangeArrowheads="1" noChangeAspect="1"/>
                          </pic:cNvPicPr>
                        </pic:nvPicPr>
                        <pic:blipFill>
                          <a:blip r:embed="rId30"/>
                          <a:stretch>
                            <a:fillRect/>
                          </a:stretch>
                        </pic:blipFill>
                        <pic:spPr bwMode="auto">
                          <a:xfrm>
                            <a:off x="0" y="0"/>
                            <a:ext cx="5943600" cy="4927784"/>
                          </a:xfrm>
                          <a:prstGeom prst="rect">
                            <a:avLst/>
                          </a:prstGeom>
                          <a:noFill/>
                          <a:ln w="9525">
                            <a:noFill/>
                            <a:headEnd/>
                            <a:tailEnd/>
                          </a:ln>
                        </pic:spPr>
                      </pic:pic>
                    </a:graphicData>
                  </a:graphic>
                </wp:inline>
              </w:drawing>
            </w:r>
          </w:p>
        </w:tc>
      </w:tr>
      <w:tr>
        <w:tc>
          <w:tcPr/>
          <w:p>
            <w:pPr>
              <w:pStyle w:val="Compact"/>
              <w:jc w:val="right"/>
            </w:pPr>
            <w:r>
              <w:t xml:space="preserve">[](media/sizefreq_obs_sens2018.png</w:t>
            </w:r>
          </w:p>
        </w:tc>
        <w:tc>
          <w:tcPr/>
          <w:p>
            <w:pPr>
              <w:pStyle w:val="Compact"/>
              <w:jc w:val="left"/>
            </w:pPr>
            <w:r>
              <w:t xml:space="preserve">)</w:t>
            </w:r>
            <w:r>
              <w:t xml:space="preserve"> </w:t>
            </w:r>
            <w:r>
              <w:drawing>
                <wp:inline>
                  <wp:extent cx="5943600" cy="4904509"/>
                  <wp:effectExtent b="0" l="0" r="0" t="0"/>
                  <wp:docPr descr="" title="" id="1" name="Picture"/>
                  <a:graphic>
                    <a:graphicData uri="http://schemas.openxmlformats.org/drawingml/2006/picture">
                      <pic:pic>
                        <pic:nvPicPr>
                          <pic:cNvPr descr="media/sizefreq_obs_sens2019.png" id="0" name="Picture"/>
                          <pic:cNvPicPr>
                            <a:picLocks noChangeArrowheads="1" noChangeAspect="1"/>
                          </pic:cNvPicPr>
                        </pic:nvPicPr>
                        <pic:blipFill>
                          <a:blip r:embed="rId31"/>
                          <a:stretch>
                            <a:fillRect/>
                          </a:stretch>
                        </pic:blipFill>
                        <pic:spPr bwMode="auto">
                          <a:xfrm>
                            <a:off x="0" y="0"/>
                            <a:ext cx="5943600" cy="4904509"/>
                          </a:xfrm>
                          <a:prstGeom prst="rect">
                            <a:avLst/>
                          </a:prstGeom>
                          <a:noFill/>
                          <a:ln w="9525">
                            <a:noFill/>
                            <a:headEnd/>
                            <a:tailEnd/>
                          </a:ln>
                        </pic:spPr>
                      </pic:pic>
                    </a:graphicData>
                  </a:graphic>
                </wp:inline>
              </w:drawing>
            </w:r>
          </w:p>
        </w:tc>
      </w:tr>
      <w:tr>
        <w:tc>
          <w:tcPr/>
          <w:p>
            <w:pPr>
              <w:pStyle w:val="Compact"/>
              <w:jc w:val="right"/>
            </w:pPr>
            <w:r>
              <w:t xml:space="preserve">4X- No 2018 Fishery</w:t>
            </w:r>
          </w:p>
        </w:tc>
        <w:tc>
          <w:tcPr/>
          <w:p>
            <w:pPr>
              <w:pStyle w:val="Compact"/>
              <w:jc w:val="left"/>
            </w:pPr>
            <w:r>
              <w:drawing>
                <wp:inline>
                  <wp:extent cx="5943600" cy="4956738"/>
                  <wp:effectExtent b="0" l="0" r="0" t="0"/>
                  <wp:docPr descr="" title="" id="1" name="Picture"/>
                  <a:graphic>
                    <a:graphicData uri="http://schemas.openxmlformats.org/drawingml/2006/picture">
                      <pic:pic>
                        <pic:nvPicPr>
                          <pic:cNvPr descr="media/sizefreq_obs_cfa4x2019.png" id="0" name="Picture"/>
                          <pic:cNvPicPr>
                            <a:picLocks noChangeArrowheads="1" noChangeAspect="1"/>
                          </pic:cNvPicPr>
                        </pic:nvPicPr>
                        <pic:blipFill>
                          <a:blip r:embed="rId32"/>
                          <a:stretch>
                            <a:fillRect/>
                          </a:stretch>
                        </pic:blipFill>
                        <pic:spPr bwMode="auto">
                          <a:xfrm>
                            <a:off x="0" y="0"/>
                            <a:ext cx="5943600" cy="4956738"/>
                          </a:xfrm>
                          <a:prstGeom prst="rect">
                            <a:avLst/>
                          </a:prstGeom>
                          <a:noFill/>
                          <a:ln w="9525">
                            <a:noFill/>
                            <a:headEnd/>
                            <a:tailEnd/>
                          </a:ln>
                        </pic:spPr>
                      </pic:pic>
                    </a:graphicData>
                  </a:graphic>
                </wp:inline>
              </w:drawing>
            </w:r>
          </w:p>
        </w:tc>
      </w:tr>
    </w:tbl>
    <w:p>
      <w:pPr>
        <w:pStyle w:val="BodyText"/>
      </w:pPr>
      <w:r>
        <w:t xml:space="preserve">Figure 4. Size frequency distribution of Snow Crab sampled by at-sea</w:t>
      </w:r>
      <w:r>
        <w:t xml:space="preserve"> </w:t>
      </w:r>
      <w:r>
        <w:t xml:space="preserve">observers, broken down by Carapace Condition (CC). For 4X, the year</w:t>
      </w:r>
      <w:r>
        <w:t xml:space="preserve"> </w:t>
      </w:r>
      <w:r>
        <w:t xml:space="preserve">refers to the starting year of the season; the current season is</w:t>
      </w:r>
      <w:r>
        <w:t xml:space="preserve"> </w:t>
      </w:r>
      <w:r>
        <w:t xml:space="preserve">ongoing. Vertical lines indicate 95 mm Carapace Width, the minimum legal</w:t>
      </w:r>
      <w:r>
        <w:t xml:space="preserve"> </w:t>
      </w:r>
      <w:r>
        <w:t xml:space="preserve">commercial size.</w:t>
      </w:r>
    </w:p>
    <w:bookmarkEnd w:id="33"/>
    <w:bookmarkEnd w:id="34"/>
    <w:bookmarkStart w:id="56" w:name="assessment"/>
    <w:p>
      <w:pPr>
        <w:pStyle w:val="Heading2"/>
      </w:pPr>
      <w:r>
        <w:t xml:space="preserve">ASSESSMENT</w:t>
      </w:r>
    </w:p>
    <w:bookmarkStart w:id="47" w:name="stock-trends-and-current-status"/>
    <w:p>
      <w:pPr>
        <w:pStyle w:val="Heading3"/>
      </w:pPr>
      <w:r>
        <w:t xml:space="preserve">Stock Trends and Current Status</w:t>
      </w:r>
    </w:p>
    <w:bookmarkStart w:id="37" w:name="fishable-biomass"/>
    <w:p>
      <w:pPr>
        <w:pStyle w:val="Heading4"/>
      </w:pPr>
      <w:r>
        <w:t xml:space="preserve">Fishable Biomass</w:t>
      </w:r>
    </w:p>
    <w:p>
      <w:pPr>
        <w:pStyle w:val="FirstParagraph"/>
      </w:pPr>
      <w:r>
        <w:t xml:space="preserve">The fishable biomass (Figure 5, Map 3) is defined as that segment of the</w:t>
      </w:r>
      <w:r>
        <w:t xml:space="preserve"> </w:t>
      </w:r>
      <w:r>
        <w:t xml:space="preserve">Snow Crab biomass that is male, mature, and larger than 95 mm CW.</w:t>
      </w:r>
      <w:r>
        <w:t xml:space="preserve"> </w:t>
      </w:r>
      <w:r>
        <w:t xml:space="preserve">Geometric mean catches of this segment of the population are shown in</w:t>
      </w:r>
      <w:r>
        <w:t xml:space="preserve"> </w:t>
      </w:r>
      <w:r>
        <w:t xml:space="preserve">Figure 5 (Map 3). Estimation of a fishable biomass index was conducted</w:t>
      </w:r>
      <w:r>
        <w:t xml:space="preserve"> </w:t>
      </w:r>
      <w:r>
        <w:t xml:space="preserve">using a newly developed lattice-based approach using conditional</w:t>
      </w:r>
      <w:r>
        <w:t xml:space="preserve"> </w:t>
      </w:r>
      <w:r>
        <w:t xml:space="preserve">auto-regressive spatio-temporal models (Choi 2020). This</w:t>
      </w:r>
      <w:r>
        <w:t xml:space="preserve"> </w:t>
      </w:r>
      <w:r>
        <w:t xml:space="preserve">“</w:t>
      </w:r>
      <w:r>
        <w:rPr>
          <w:bCs/>
          <w:b/>
        </w:rPr>
        <w:t xml:space="preserve">carstm</w:t>
      </w:r>
      <w:r>
        <w:t xml:space="preserve">”</w:t>
      </w:r>
      <w:r>
        <w:t xml:space="preserve"> </w:t>
      </w:r>
      <w:r>
        <w:t xml:space="preserve">approach models snow crab numerical abundance with environmental (depth,</w:t>
      </w:r>
      <w:r>
        <w:t xml:space="preserve"> </w:t>
      </w:r>
      <w:r>
        <w:t xml:space="preserve">substrate, temperature) and biological factors (species composition) as</w:t>
      </w:r>
      <w:r>
        <w:t xml:space="preserve"> </w:t>
      </w:r>
      <w:r>
        <w:t xml:space="preserve">covariates. This index is coupled with a logistic population dynamics</w:t>
      </w:r>
      <w:r>
        <w:t xml:space="preserve"> </w:t>
      </w:r>
      <w:r>
        <w:t xml:space="preserve">fishery model to determine fishable biomass and relevant biological</w:t>
      </w:r>
      <w:r>
        <w:t xml:space="preserve"> </w:t>
      </w:r>
      <w:r>
        <w:t xml:space="preserve">reference points (i.e., carrying capacity and fishing mortality at</w:t>
      </w:r>
      <w:r>
        <w:t xml:space="preserve"> </w:t>
      </w:r>
      <w:r>
        <w:t xml:space="preserve">maximum sustainable yield, or F</w:t>
      </w:r>
      <w:r>
        <w:rPr>
          <w:vertAlign w:val="subscript"/>
        </w:rPr>
        <w:t xml:space="preserve">MSY</w:t>
      </w:r>
      <w:r>
        <w:t xml:space="preserve">) associated with the harvest</w:t>
      </w:r>
      <w:r>
        <w:t xml:space="preserve"> </w:t>
      </w:r>
      <w:r>
        <w:t xml:space="preserve">control rules of the Snow Crab fishery.</w:t>
      </w:r>
    </w:p>
    <w:tbl>
      <w:tblPr>
        <w:tblStyle w:val="Table"/>
        <w:tblW w:type="pct" w:w="4865"/>
        <w:tblLook w:firstRow="1" w:lastRow="0" w:firstColumn="0" w:lastColumn="0" w:noHBand="0" w:noVBand="0" w:val="0020"/>
      </w:tblPr>
      <w:tblGrid>
        <w:gridCol w:w="7705"/>
      </w:tblGrid>
      <w:tr>
        <w:trPr>
          <w:tblHeader w:val="true"/>
        </w:trPr>
        <w:tc>
          <w:tcPr/>
          <w:p>
            <w:pPr>
              <w:pStyle w:val="Compact"/>
              <w:jc w:val="left"/>
            </w:pPr>
            <w:r>
              <w:drawing>
                <wp:inline>
                  <wp:extent cx="3591763" cy="3401568"/>
                  <wp:effectExtent b="0" l="0" r="0" t="0"/>
                  <wp:docPr descr="" title="" id="1" name="Picture"/>
                  <a:graphic>
                    <a:graphicData uri="http://schemas.openxmlformats.org/drawingml/2006/picture">
                      <pic:pic>
                        <pic:nvPicPr>
                          <pic:cNvPr descr="media/biomass_geometricmean_timeseries.png" id="0" name="Picture"/>
                          <pic:cNvPicPr>
                            <a:picLocks noChangeArrowheads="1" noChangeAspect="1"/>
                          </pic:cNvPicPr>
                        </pic:nvPicPr>
                        <pic:blipFill>
                          <a:blip r:embed="rId35"/>
                          <a:stretch>
                            <a:fillRect/>
                          </a:stretch>
                        </pic:blipFill>
                        <pic:spPr bwMode="auto">
                          <a:xfrm>
                            <a:off x="0" y="0"/>
                            <a:ext cx="3591763" cy="3401568"/>
                          </a:xfrm>
                          <a:prstGeom prst="rect">
                            <a:avLst/>
                          </a:prstGeom>
                          <a:noFill/>
                          <a:ln w="9525">
                            <a:noFill/>
                            <a:headEnd/>
                            <a:tailEnd/>
                          </a:ln>
                        </pic:spPr>
                      </pic:pic>
                    </a:graphicData>
                  </a:graphic>
                </wp:inline>
              </w:drawing>
            </w:r>
          </w:p>
        </w:tc>
      </w:tr>
      <w:tr>
        <w:tc>
          <w:tcPr/>
          <w:p>
            <w:pPr>
              <w:pStyle w:val="Compact"/>
              <w:jc w:val="left"/>
            </w:pPr>
            <w:r>
              <w:t xml:space="preserve">Figure 5. Time series of geometric mean fishable biomass (t/km2)</w:t>
            </w:r>
            <w:r>
              <w:t xml:space="preserve"> </w:t>
            </w:r>
            <w:r>
              <w:t xml:space="preserve">obtained from the annual Snow Crab survey. Error bars represent 95%</w:t>
            </w:r>
            <w:r>
              <w:t xml:space="preserve"> </w:t>
            </w:r>
            <w:r>
              <w:t xml:space="preserve">Confidence Interval around the geometric mean.</w:t>
            </w:r>
          </w:p>
        </w:tc>
      </w:tr>
    </w:tbl>
    <w:p>
      <w:pPr>
        <w:pStyle w:val="BodyText"/>
      </w:pPr>
      <w:r>
        <w:t xml:space="preserve">The modelled, post-fishery, fishable biomass (from the population</w:t>
      </w:r>
      <w:r>
        <w:t xml:space="preserve"> </w:t>
      </w:r>
      <w:r>
        <w:t xml:space="preserve">dynamics model; Figure 6) of Snow Crab in N-ENS was estimated to be</w:t>
      </w:r>
      <w:r>
        <w:t xml:space="preserve"> </w:t>
      </w:r>
      <w:r>
        <w:t xml:space="preserve">4,460 t, relative to 3,299 t in 2018. In S-ENS, the post‑fishery,</w:t>
      </w:r>
      <w:r>
        <w:t xml:space="preserve"> </w:t>
      </w:r>
      <w:r>
        <w:t xml:space="preserve">fishable biomass was 54,408 t, relative to 44,705 t in 2018. In 4X, the</w:t>
      </w:r>
      <w:r>
        <w:t xml:space="preserve"> </w:t>
      </w:r>
      <w:r>
        <w:t xml:space="preserve">2019 pre‑fishery, fishable biomass was 418 t, relative to 428 t in 2018.</w:t>
      </w:r>
      <w:r>
        <w:t xml:space="preserve"> </w:t>
      </w:r>
      <w:r>
        <w:t xml:space="preserve">The 4X biomass estimate is generally more uncertain as Snow Crab</w:t>
      </w:r>
      <w:r>
        <w:t xml:space="preserve"> </w:t>
      </w:r>
      <w:r>
        <w:t xml:space="preserve">behavior and distribution in this area appear to be more affected by an</w:t>
      </w:r>
      <w:r>
        <w:t xml:space="preserve"> </w:t>
      </w:r>
      <w:r>
        <w:t xml:space="preserve">increased volatility of ecosystem pressures such as water temperature,</w:t>
      </w:r>
      <w:r>
        <w:t xml:space="preserve"> </w:t>
      </w:r>
      <w:r>
        <w:t xml:space="preserve">predation and bycatch in other fisheries.</w:t>
      </w:r>
    </w:p>
    <w:tbl>
      <w:tblPr>
        <w:tblStyle w:val="Table"/>
        <w:tblW w:type="pct" w:w="4865"/>
        <w:tblLook w:firstRow="1" w:lastRow="0" w:firstColumn="0" w:lastColumn="0" w:noHBand="0" w:noVBand="0" w:val="0020"/>
      </w:tblPr>
      <w:tblGrid>
        <w:gridCol w:w="7705"/>
      </w:tblGrid>
      <w:tr>
        <w:trPr>
          <w:tblHeader w:val="true"/>
        </w:trPr>
        <w:tc>
          <w:tcPr/>
          <w:p>
            <w:pPr>
              <w:pStyle w:val="Compact"/>
              <w:jc w:val="left"/>
            </w:pPr>
            <w:r>
              <w:drawing>
                <wp:inline>
                  <wp:extent cx="5943600" cy="5943600"/>
                  <wp:effectExtent b="0" l="0" r="0" t="0"/>
                  <wp:docPr descr="" title="" id="1" name="Picture"/>
                  <a:graphic>
                    <a:graphicData uri="http://schemas.openxmlformats.org/drawingml/2006/picture">
                      <pic:pic>
                        <pic:nvPicPr>
                          <pic:cNvPr descr="media/biomass_modelled_timeseries.png" id="0" name="Picture"/>
                          <pic:cNvPicPr>
                            <a:picLocks noChangeArrowheads="1" noChangeAspect="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tc>
      </w:tr>
      <w:tr>
        <w:tc>
          <w:tcPr/>
          <w:p>
            <w:pPr>
              <w:pStyle w:val="Compact"/>
              <w:jc w:val="left"/>
            </w:pPr>
            <w:r>
              <w:t xml:space="preserve">Figure 6. Time series of fishable biomass from the logistic population</w:t>
            </w:r>
            <w:r>
              <w:t xml:space="preserve"> </w:t>
            </w:r>
            <w:r>
              <w:t xml:space="preserve">models. The fishable biomass index is shown in red dashed lines. The</w:t>
            </w:r>
            <w:r>
              <w:t xml:space="preserve"> </w:t>
            </w:r>
            <w:r>
              <w:t xml:space="preserve">q-corrected (model catchability coefficient), fishable biomass index is</w:t>
            </w:r>
            <w:r>
              <w:t xml:space="preserve"> </w:t>
            </w:r>
            <w:r>
              <w:t xml:space="preserve">shown in green dashed lines. Posterior mean fishable biomass estimates</w:t>
            </w:r>
            <w:r>
              <w:t xml:space="preserve"> </w:t>
            </w:r>
            <w:r>
              <w:t xml:space="preserve">from the logistic model are shown in blue stippled lines. Density</w:t>
            </w:r>
            <w:r>
              <w:t xml:space="preserve"> </w:t>
            </w:r>
            <w:r>
              <w:t xml:space="preserve">distribution of posterior fishable biomass estimates are presented with</w:t>
            </w:r>
            <w:r>
              <w:t xml:space="preserve"> </w:t>
            </w:r>
            <w:r>
              <w:t xml:space="preserve">95% Confidence Interval (grey).</w:t>
            </w:r>
          </w:p>
        </w:tc>
      </w:tr>
    </w:tbl>
    <w:bookmarkEnd w:id="37"/>
    <w:bookmarkStart w:id="38" w:name="section"/>
    <w:p>
      <w:pPr>
        <w:pStyle w:val="Heading4"/>
      </w:pPr>
    </w:p>
    <w:bookmarkEnd w:id="38"/>
    <w:bookmarkStart w:id="39" w:name="fishable-recruitment"/>
    <w:p>
      <w:pPr>
        <w:pStyle w:val="Heading4"/>
      </w:pPr>
      <w:r>
        <w:t xml:space="preserve">Fishable Recruitment</w:t>
      </w:r>
    </w:p>
    <w:p>
      <w:pPr>
        <w:pStyle w:val="FirstParagraph"/>
      </w:pPr>
      <w:r>
        <w:t xml:space="preserve">Quantitative determination of recruitment levels into the fishable</w:t>
      </w:r>
      <w:r>
        <w:t xml:space="preserve"> </w:t>
      </w:r>
      <w:r>
        <w:t xml:space="preserve">biomass is confounded by a number of factors. These include terminal</w:t>
      </w:r>
      <w:r>
        <w:t xml:space="preserve"> </w:t>
      </w:r>
      <w:r>
        <w:t xml:space="preserve">moult (the timing offset of moulting in spring and the survey in the</w:t>
      </w:r>
      <w:r>
        <w:t xml:space="preserve"> </w:t>
      </w:r>
      <w:r>
        <w:t xml:space="preserve">fall), the inability to age crab, and the inability to predict the age</w:t>
      </w:r>
      <w:r>
        <w:t xml:space="preserve"> </w:t>
      </w:r>
      <w:r>
        <w:t xml:space="preserve">that male crab will terminally moult. Based on size-frequency histograms</w:t>
      </w:r>
      <w:r>
        <w:t xml:space="preserve"> </w:t>
      </w:r>
      <w:r>
        <w:t xml:space="preserve">of the male Snow Crab population, moderate internal recruitment (from</w:t>
      </w:r>
      <w:r>
        <w:t xml:space="preserve"> </w:t>
      </w:r>
      <w:r>
        <w:t xml:space="preserve">within the same fishing area) to the fishery is expected for the next</w:t>
      </w:r>
      <w:r>
        <w:t xml:space="preserve"> </w:t>
      </w:r>
      <w:r>
        <w:t xml:space="preserve">year in N-ENS and S-ENS (Figure 7). Internal recruitment in 4X for the</w:t>
      </w:r>
      <w:r>
        <w:t xml:space="preserve"> </w:t>
      </w:r>
      <w:r>
        <w:t xml:space="preserve">next year is expected to be minimal. Immigration of crab from outside a</w:t>
      </w:r>
      <w:r>
        <w:t xml:space="preserve"> </w:t>
      </w:r>
      <w:r>
        <w:t xml:space="preserve">given area can represent recruitment to its fishery. This type of</w:t>
      </w:r>
      <w:r>
        <w:t xml:space="preserve"> </w:t>
      </w:r>
      <w:r>
        <w:t xml:space="preserve">recruitment is unreliable due to the episodic nature of immigration.</w:t>
      </w:r>
      <w:r>
        <w:t xml:space="preserve"> </w:t>
      </w:r>
      <w:r>
        <w:t xml:space="preserve">Erratic temperature fields in 4X create strong uncertainties for future</w:t>
      </w:r>
      <w:r>
        <w:t xml:space="preserve"> </w:t>
      </w:r>
      <w:r>
        <w:t xml:space="preserve">recruitment.</w:t>
      </w:r>
    </w:p>
    <w:p>
      <w:pPr>
        <w:pStyle w:val="BodyText"/>
      </w:pPr>
      <w:r>
        <w:t xml:space="preserve">In the survey, the presence of small, immature, male Snow Crab in N-ENS</w:t>
      </w:r>
      <w:r>
        <w:t xml:space="preserve"> </w:t>
      </w:r>
      <w:r>
        <w:t xml:space="preserve">and S-ENS (Figure 7), spanning almost all size ranges (30-95 mm CW),</w:t>
      </w:r>
      <w:r>
        <w:t xml:space="preserve"> </w:t>
      </w:r>
      <w:r>
        <w:t xml:space="preserve">suggests that internal recruitment to the fishery is probable for the</w:t>
      </w:r>
      <w:r>
        <w:t xml:space="preserve"> </w:t>
      </w:r>
      <w:r>
        <w:t xml:space="preserve">next 3-4 years, though potentially at decreasing rates due to the lower</w:t>
      </w:r>
      <w:r>
        <w:t xml:space="preserve"> </w:t>
      </w:r>
      <w:r>
        <w:t xml:space="preserve">numeric densities of smaller animals. High numerical densities at the</w:t>
      </w:r>
      <w:r>
        <w:t xml:space="preserve"> </w:t>
      </w:r>
      <w:r>
        <w:t xml:space="preserve">smallest size range (&lt;30mm), in all areas, are a promising sign of</w:t>
      </w:r>
      <w:r>
        <w:t xml:space="preserve"> </w:t>
      </w:r>
      <w:r>
        <w:t xml:space="preserve">potential long-term recruitment. The survival of small crab is essential</w:t>
      </w:r>
      <w:r>
        <w:t xml:space="preserve"> </w:t>
      </w:r>
      <w:r>
        <w:t xml:space="preserve">for the fishery to realize this recruitment. Any mortality (e.g.</w:t>
      </w:r>
      <w:r>
        <w:t xml:space="preserve"> </w:t>
      </w:r>
      <w:r>
        <w:t xml:space="preserve">predation, environmental, and disease), emigration, or sub-legal-size</w:t>
      </w:r>
      <w:r>
        <w:t xml:space="preserve"> </w:t>
      </w:r>
      <w:r>
        <w:t xml:space="preserve">terminal moulting will impact this recruitment potential. Based on</w:t>
      </w:r>
      <w:r>
        <w:t xml:space="preserve"> </w:t>
      </w:r>
      <w:r>
        <w:t xml:space="preserve">size-frequency distributions from the trawl survey, 4X shows limited</w:t>
      </w:r>
      <w:r>
        <w:t xml:space="preserve"> </w:t>
      </w:r>
      <w:r>
        <w:t xml:space="preserve">potential for internal recruitment to the fishery for the next 2-3</w:t>
      </w:r>
      <w:r>
        <w:t xml:space="preserve"> </w:t>
      </w:r>
      <w:r>
        <w:t xml:space="preserve">years.</w:t>
      </w:r>
    </w:p>
    <w:bookmarkEnd w:id="39"/>
    <w:bookmarkStart w:id="43" w:name="reproduction"/>
    <w:p>
      <w:pPr>
        <w:pStyle w:val="Heading4"/>
      </w:pPr>
      <w:r>
        <w:t xml:space="preserve">Reproduction</w:t>
      </w:r>
    </w:p>
    <w:p>
      <w:pPr>
        <w:pStyle w:val="FirstParagraph"/>
      </w:pPr>
      <w:r>
        <w:t xml:space="preserve">In all areas, there was substantial recruitment of female crab into the</w:t>
      </w:r>
      <w:r>
        <w:t xml:space="preserve"> </w:t>
      </w:r>
      <w:r>
        <w:t xml:space="preserve">mature (egg-bearing) segment of the population from 2016-2018 (Figure 8)</w:t>
      </w:r>
      <w:r>
        <w:t xml:space="preserve"> </w:t>
      </w:r>
      <w:r>
        <w:t xml:space="preserve">and egg/larval production is expected to be high, though decreasing as</w:t>
      </w:r>
      <w:r>
        <w:t xml:space="preserve"> </w:t>
      </w:r>
      <w:r>
        <w:t xml:space="preserve">the numeric densities of mature female crab are now declining. This</w:t>
      </w:r>
      <w:r>
        <w:t xml:space="preserve"> </w:t>
      </w:r>
      <w:r>
        <w:t xml:space="preserve">decline in mature females, coupled with increased male maturation,</w:t>
      </w:r>
      <w:r>
        <w:t xml:space="preserve"> </w:t>
      </w:r>
      <w:r>
        <w:t xml:space="preserve">produces a declining mature sex ratio (proportion of mature female to</w:t>
      </w:r>
      <w:r>
        <w:t xml:space="preserve"> </w:t>
      </w:r>
      <w:r>
        <w:t xml:space="preserve">male crab; Figure 9) since 2017 in N‑ENS and S-ENS. In 4X, mature sex</w:t>
      </w:r>
      <w:r>
        <w:t xml:space="preserve"> </w:t>
      </w:r>
      <w:r>
        <w:t xml:space="preserve">ratios are more stable in the same time frame. Based on population size</w:t>
      </w:r>
      <w:r>
        <w:t xml:space="preserve"> </w:t>
      </w:r>
      <w:r>
        <w:t xml:space="preserve">structure, mature female abundance is expected to decline for the next</w:t>
      </w:r>
      <w:r>
        <w:t xml:space="preserve"> </w:t>
      </w:r>
      <w:r>
        <w:t xml:space="preserve">3-4 years in all areas.</w:t>
      </w:r>
    </w:p>
    <w:p>
      <w:pPr>
        <w:pStyle w:val="BodyText"/>
      </w:pPr>
      <w:r>
        <w:drawing>
          <wp:inline>
            <wp:extent cx="5943600" cy="5919470"/>
            <wp:effectExtent b="0" l="0" r="0" t="0"/>
            <wp:docPr descr="" title="" id="1" name="Picture"/>
            <a:graphic>
              <a:graphicData uri="http://schemas.openxmlformats.org/drawingml/2006/picture">
                <pic:pic>
                  <pic:nvPicPr>
                    <pic:cNvPr descr="media/sizefreq_survey_male.png" id="0" name="Picture"/>
                    <pic:cNvPicPr>
                      <a:picLocks noChangeArrowheads="1" noChangeAspect="1"/>
                    </pic:cNvPicPr>
                  </pic:nvPicPr>
                  <pic:blipFill>
                    <a:blip r:embed="rId40"/>
                    <a:stretch>
                      <a:fillRect/>
                    </a:stretch>
                  </pic:blipFill>
                  <pic:spPr bwMode="auto">
                    <a:xfrm>
                      <a:off x="0" y="0"/>
                      <a:ext cx="5943600" cy="5919470"/>
                    </a:xfrm>
                    <a:prstGeom prst="rect">
                      <a:avLst/>
                    </a:prstGeom>
                    <a:noFill/>
                    <a:ln w="9525">
                      <a:noFill/>
                      <a:headEnd/>
                      <a:tailEnd/>
                    </a:ln>
                  </pic:spPr>
                </pic:pic>
              </a:graphicData>
            </a:graphic>
          </wp:inline>
        </w:drawing>
      </w:r>
    </w:p>
    <w:p>
      <w:pPr>
        <w:pStyle w:val="BodyText"/>
      </w:pPr>
      <w:r>
        <w:t xml:space="preserve">Figure 7. Size-frequency histograms of carapace width of male Snow Crab.</w:t>
      </w:r>
      <w:r>
        <w:t xml:space="preserve"> </w:t>
      </w:r>
      <w:r>
        <w:t xml:space="preserve">This figure provides information about the relative numbers within a</w:t>
      </w:r>
      <w:r>
        <w:t xml:space="preserve"> </w:t>
      </w:r>
      <w:r>
        <w:t xml:space="preserve">given year. The vertical line represents the legal size (95 mm).</w:t>
      </w:r>
      <w:r>
        <w:t xml:space="preserve"> </w:t>
      </w:r>
      <w:r>
        <w:t xml:space="preserve">Immature animals are shown with light coloured bars, mature with dark.</w:t>
      </w:r>
    </w:p>
    <w:p>
      <w:pPr>
        <w:pStyle w:val="BodyText"/>
      </w:pPr>
      <w:r>
        <w:drawing>
          <wp:inline>
            <wp:extent cx="5943600" cy="5919470"/>
            <wp:effectExtent b="0" l="0" r="0" t="0"/>
            <wp:docPr descr="" title="" id="1" name="Picture"/>
            <a:graphic>
              <a:graphicData uri="http://schemas.openxmlformats.org/drawingml/2006/picture">
                <pic:pic>
                  <pic:nvPicPr>
                    <pic:cNvPr descr="media/sizefreq_survey_female.png" id="0" name="Picture"/>
                    <pic:cNvPicPr>
                      <a:picLocks noChangeArrowheads="1" noChangeAspect="1"/>
                    </pic:cNvPicPr>
                  </pic:nvPicPr>
                  <pic:blipFill>
                    <a:blip r:embed="rId41"/>
                    <a:stretch>
                      <a:fillRect/>
                    </a:stretch>
                  </pic:blipFill>
                  <pic:spPr bwMode="auto">
                    <a:xfrm>
                      <a:off x="0" y="0"/>
                      <a:ext cx="5943600" cy="5919470"/>
                    </a:xfrm>
                    <a:prstGeom prst="rect">
                      <a:avLst/>
                    </a:prstGeom>
                    <a:noFill/>
                    <a:ln w="9525">
                      <a:noFill/>
                      <a:headEnd/>
                      <a:tailEnd/>
                    </a:ln>
                  </pic:spPr>
                </pic:pic>
              </a:graphicData>
            </a:graphic>
          </wp:inline>
        </w:drawing>
      </w:r>
    </w:p>
    <w:p>
      <w:pPr>
        <w:pStyle w:val="BodyText"/>
      </w:pPr>
      <w:r>
        <w:t xml:space="preserve">Figure 8. Size-frequency histograms of carapace width of female Snow</w:t>
      </w:r>
      <w:r>
        <w:t xml:space="preserve"> </w:t>
      </w:r>
      <w:r>
        <w:t xml:space="preserve">Crab. This figure provides information about the relative numbers within</w:t>
      </w:r>
      <w:r>
        <w:t xml:space="preserve"> </w:t>
      </w:r>
      <w:r>
        <w:t xml:space="preserve">a given year. Immature animals are shown with light coloured bars,</w:t>
      </w:r>
      <w:r>
        <w:t xml:space="preserve"> </w:t>
      </w:r>
      <w:r>
        <w:t xml:space="preserve">mature with dark.</w:t>
      </w:r>
    </w:p>
    <w:p>
      <w:pPr>
        <w:pStyle w:val="BodyText"/>
      </w:pPr>
      <w:r>
        <w:drawing>
          <wp:inline>
            <wp:extent cx="5943600" cy="5688756"/>
            <wp:effectExtent b="0" l="0" r="0" t="0"/>
            <wp:docPr descr="" title="" id="1" name="Picture"/>
            <a:graphic>
              <a:graphicData uri="http://schemas.openxmlformats.org/drawingml/2006/picture">
                <pic:pic>
                  <pic:nvPicPr>
                    <pic:cNvPr descr="media/sexratio_mature_timeseries.png" id="0" name="Picture"/>
                    <pic:cNvPicPr>
                      <a:picLocks noChangeArrowheads="1" noChangeAspect="1"/>
                    </pic:cNvPicPr>
                  </pic:nvPicPr>
                  <pic:blipFill>
                    <a:blip r:embed="rId42"/>
                    <a:stretch>
                      <a:fillRect/>
                    </a:stretch>
                  </pic:blipFill>
                  <pic:spPr bwMode="auto">
                    <a:xfrm>
                      <a:off x="0" y="0"/>
                      <a:ext cx="5943600" cy="5688756"/>
                    </a:xfrm>
                    <a:prstGeom prst="rect">
                      <a:avLst/>
                    </a:prstGeom>
                    <a:noFill/>
                    <a:ln w="9525">
                      <a:noFill/>
                      <a:headEnd/>
                      <a:tailEnd/>
                    </a:ln>
                  </pic:spPr>
                </pic:pic>
              </a:graphicData>
            </a:graphic>
          </wp:inline>
        </w:drawing>
      </w:r>
    </w:p>
    <w:p>
      <w:pPr>
        <w:pStyle w:val="BodyText"/>
      </w:pPr>
      <w:r>
        <w:t xml:space="preserve">Figure 9. Sex ratios (proportion female) of mature Snow Crab. The</w:t>
      </w:r>
      <w:r>
        <w:t xml:space="preserve"> </w:t>
      </w:r>
      <w:r>
        <w:t xml:space="preserve">Scotian Shelf is generally male dominated. Dashed line shows equal</w:t>
      </w:r>
      <w:r>
        <w:t xml:space="preserve"> </w:t>
      </w:r>
      <w:r>
        <w:t xml:space="preserve">proportions. Solid grey line represents the long-term mean.</w:t>
      </w:r>
    </w:p>
    <w:bookmarkEnd w:id="43"/>
    <w:bookmarkStart w:id="46" w:name="fishing-mortality"/>
    <w:p>
      <w:pPr>
        <w:pStyle w:val="Heading4"/>
      </w:pPr>
      <w:r>
        <w:t xml:space="preserve">Fishing Mortality</w:t>
      </w:r>
    </w:p>
    <w:p>
      <w:pPr>
        <w:pStyle w:val="FirstParagraph"/>
      </w:pPr>
      <w:r>
        <w:t xml:space="preserve">The 2019 N-ENS fishing mortality (F) is estimated to have been 0.14</w:t>
      </w:r>
      <w:r>
        <w:t xml:space="preserve"> </w:t>
      </w:r>
      <w:r>
        <w:t xml:space="preserve">(exploitation rate 0.13), a decrease from 0.22 in 2018 (Figure 10).</w:t>
      </w:r>
    </w:p>
    <w:p>
      <w:pPr>
        <w:pStyle w:val="BodyText"/>
      </w:pPr>
      <w:r>
        <w:t xml:space="preserve">The 2019 S-ENS fishing mortality (F) is estimated to have been 0.12</w:t>
      </w:r>
      <w:r>
        <w:t xml:space="preserve"> </w:t>
      </w:r>
      <w:r>
        <w:t xml:space="preserve">(exploitation rate 0.13), a decrease from 0.13 in 2018 (Figure 10).</w:t>
      </w:r>
      <w:r>
        <w:t xml:space="preserve"> </w:t>
      </w:r>
      <w:r>
        <w:t xml:space="preserve">Localized exploitation rates are likely higher, as not all areas where</w:t>
      </w:r>
      <w:r>
        <w:t xml:space="preserve"> </w:t>
      </w:r>
      <w:r>
        <w:t xml:space="preserve">biomass estimates are provided are fished (e.g., continental slope areas</w:t>
      </w:r>
      <w:r>
        <w:t xml:space="preserve"> </w:t>
      </w:r>
      <w:r>
        <w:t xml:space="preserve">and western, inshore areas of CFA 24).</w:t>
      </w:r>
    </w:p>
    <w:p>
      <w:pPr>
        <w:pStyle w:val="BodyText"/>
      </w:pPr>
      <w:r>
        <w:t xml:space="preserve">The 4X fishing mortality (F) in 2018/2019 was zero (Figure 10) as there</w:t>
      </w:r>
      <w:r>
        <w:t xml:space="preserve"> </w:t>
      </w:r>
      <w:r>
        <w:t xml:space="preserve">was no commercial fishery. Generally, in 4X realized exploitation rates</w:t>
      </w:r>
      <w:r>
        <w:t xml:space="preserve"> </w:t>
      </w:r>
      <w:r>
        <w:t xml:space="preserve">are likely higher, since the computed exploitation rates incorporate</w:t>
      </w:r>
      <w:r>
        <w:t xml:space="preserve"> </w:t>
      </w:r>
      <w:r>
        <w:t xml:space="preserve">biomass from throughout the 4X area and not just the fishery grounds.</w:t>
      </w:r>
    </w:p>
    <w:tbl>
      <w:tblPr>
        <w:tblStyle w:val="Table"/>
        <w:tblW w:type="pct" w:w="5000"/>
        <w:tblLook w:firstRow="1" w:lastRow="0" w:firstColumn="0" w:lastColumn="0" w:noHBand="0" w:noVBand="0" w:val="0020"/>
      </w:tblPr>
      <w:tblGrid>
        <w:gridCol w:w="3850"/>
        <w:gridCol w:w="4069"/>
      </w:tblGrid>
      <w:tr>
        <w:trPr>
          <w:tblHeader w:val="true"/>
        </w:trPr>
        <w:tc>
          <w:tcPr/>
          <w:p>
            <w:pPr>
              <w:pStyle w:val="Compact"/>
              <w:jc w:val="right"/>
            </w:pPr>
            <w:r>
              <w:drawing>
                <wp:inline>
                  <wp:extent cx="5943600" cy="5904238"/>
                  <wp:effectExtent b="0" l="0" r="0" t="0"/>
                  <wp:docPr descr="" title="" id="1" name="Picture"/>
                  <a:graphic>
                    <a:graphicData uri="http://schemas.openxmlformats.org/drawingml/2006/picture">
                      <pic:pic>
                        <pic:nvPicPr>
                          <pic:cNvPr descr="media/fishing_mortality.png" id="0" name="Picture"/>
                          <pic:cNvPicPr>
                            <a:picLocks noChangeArrowheads="1" noChangeAspect="1"/>
                          </pic:cNvPicPr>
                        </pic:nvPicPr>
                        <pic:blipFill>
                          <a:blip r:embed="rId44"/>
                          <a:stretch>
                            <a:fillRect/>
                          </a:stretch>
                        </pic:blipFill>
                        <pic:spPr bwMode="auto">
                          <a:xfrm>
                            <a:off x="0" y="0"/>
                            <a:ext cx="5943600" cy="5904238"/>
                          </a:xfrm>
                          <a:prstGeom prst="rect">
                            <a:avLst/>
                          </a:prstGeom>
                          <a:noFill/>
                          <a:ln w="9525">
                            <a:noFill/>
                            <a:headEnd/>
                            <a:tailEnd/>
                          </a:ln>
                        </pic:spPr>
                      </pic:pic>
                    </a:graphicData>
                  </a:graphic>
                </wp:inline>
              </w:drawing>
            </w:r>
          </w:p>
        </w:tc>
        <w:tc>
          <w:tcPr/>
          <w:p>
            <w:pPr>
              <w:pStyle w:val="Compact"/>
              <w:jc w:val="right"/>
            </w:pPr>
            <w:r>
              <w:drawing>
                <wp:inline>
                  <wp:extent cx="5943600" cy="5611349"/>
                  <wp:effectExtent b="0" l="0" r="0" t="0"/>
                  <wp:docPr descr="" title="" id="1" name="Picture"/>
                  <a:graphic>
                    <a:graphicData uri="http://schemas.openxmlformats.org/drawingml/2006/picture">
                      <pic:pic>
                        <pic:nvPicPr>
                          <pic:cNvPr descr="media/bottom_temperature_timeseries.png" id="0" name="Picture"/>
                          <pic:cNvPicPr>
                            <a:picLocks noChangeArrowheads="1" noChangeAspect="1"/>
                          </pic:cNvPicPr>
                        </pic:nvPicPr>
                        <pic:blipFill>
                          <a:blip r:embed="rId45"/>
                          <a:stretch>
                            <a:fillRect/>
                          </a:stretch>
                        </pic:blipFill>
                        <pic:spPr bwMode="auto">
                          <a:xfrm>
                            <a:off x="0" y="0"/>
                            <a:ext cx="5943600" cy="5611349"/>
                          </a:xfrm>
                          <a:prstGeom prst="rect">
                            <a:avLst/>
                          </a:prstGeom>
                          <a:noFill/>
                          <a:ln w="9525">
                            <a:noFill/>
                            <a:headEnd/>
                            <a:tailEnd/>
                          </a:ln>
                        </pic:spPr>
                      </pic:pic>
                    </a:graphicData>
                  </a:graphic>
                </wp:inline>
              </w:drawing>
            </w:r>
          </w:p>
        </w:tc>
      </w:tr>
      <w:tr>
        <w:tc>
          <w:tcPr/>
          <w:p>
            <w:pPr>
              <w:pStyle w:val="Compact"/>
              <w:jc w:val="right"/>
            </w:pPr>
            <w:r>
              <w:t xml:space="preserve">Figure 10. Time-series of fishing</w:t>
            </w:r>
            <w:r>
              <w:t xml:space="preserve"> </w:t>
            </w:r>
            <w:r>
              <w:t xml:space="preserve">mortality from the logistic</w:t>
            </w:r>
            <w:r>
              <w:t xml:space="preserve"> </w:t>
            </w:r>
            <w:r>
              <w:t xml:space="preserve">population models for N-ENS,</w:t>
            </w:r>
            <w:r>
              <w:t xml:space="preserve"> </w:t>
            </w:r>
            <w:r>
              <w:t xml:space="preserve">S-ENS, and 4X, respectively.</w:t>
            </w:r>
            <w:r>
              <w:t xml:space="preserve"> </w:t>
            </w:r>
            <w:r>
              <w:t xml:space="preserve">Posterior density distributions</w:t>
            </w:r>
            <w:r>
              <w:t xml:space="preserve"> </w:t>
            </w:r>
            <w:r>
              <w:t xml:space="preserve">are presented in gray, with the</w:t>
            </w:r>
            <w:r>
              <w:t xml:space="preserve"> </w:t>
            </w:r>
            <w:r>
              <w:t xml:space="preserve">darkest line being the median wit</w:t>
            </w:r>
            <w:r>
              <w:t xml:space="preserve"> </w:t>
            </w:r>
            <w:r>
              <w:t xml:space="preserve">95% Confidence Interval shading.</w:t>
            </w:r>
            <w:r>
              <w:t xml:space="preserve"> </w:t>
            </w:r>
            <w:r>
              <w:t xml:space="preserve">The solid(red) line is the</w:t>
            </w:r>
            <w:r>
              <w:t xml:space="preserve"> </w:t>
            </w:r>
            <w:r>
              <w:t xml:space="preserve">estimated fishing mortality at</w:t>
            </w:r>
            <w:r>
              <w:t xml:space="preserve"> </w:t>
            </w:r>
            <w:r>
              <w:t xml:space="preserve">maximum sustainable yield and the</w:t>
            </w:r>
            <w:r>
              <w:t xml:space="preserve"> </w:t>
            </w:r>
            <w:r>
              <w:t xml:space="preserve">stippled (black) line is the 20%</w:t>
            </w:r>
            <w:r>
              <w:t xml:space="preserve"> </w:t>
            </w:r>
            <w:r>
              <w:t xml:space="preserve">harvest rate.</w:t>
            </w:r>
          </w:p>
        </w:tc>
        <w:tc>
          <w:tcPr/>
          <w:p>
            <w:pPr>
              <w:pStyle w:val="Compact"/>
              <w:jc w:val="right"/>
            </w:pPr>
            <w:r>
              <w:t xml:space="preserve">Figure 11. Annual variations in</w:t>
            </w:r>
            <w:r>
              <w:t xml:space="preserve"> </w:t>
            </w:r>
            <w:r>
              <w:t xml:space="preserve">bottom temperature observed during</w:t>
            </w:r>
            <w:r>
              <w:t xml:space="preserve"> </w:t>
            </w:r>
            <w:r>
              <w:t xml:space="preserve">the Snow Crab survey. The horizontal</w:t>
            </w:r>
            <w:r>
              <w:t xml:space="preserve"> </w:t>
            </w:r>
            <w:r>
              <w:t xml:space="preserve">(black) line indicates the</w:t>
            </w:r>
            <w:r>
              <w:t xml:space="preserve"> </w:t>
            </w:r>
            <w:r>
              <w:t xml:space="preserve">long-term, median temperature within</w:t>
            </w:r>
            <w:r>
              <w:t xml:space="preserve"> </w:t>
            </w:r>
            <w:r>
              <w:t xml:space="preserve">each subarea. Error bars represent</w:t>
            </w:r>
            <w:r>
              <w:t xml:space="preserve"> </w:t>
            </w:r>
            <w:r>
              <w:t xml:space="preserve">h standard errors.</w:t>
            </w:r>
          </w:p>
        </w:tc>
      </w:tr>
    </w:tbl>
    <w:bookmarkEnd w:id="46"/>
    <w:bookmarkEnd w:id="47"/>
    <w:bookmarkStart w:id="54" w:name="ecosystem-considerations"/>
    <w:p>
      <w:pPr>
        <w:pStyle w:val="Heading3"/>
      </w:pPr>
      <w:r>
        <w:t xml:space="preserve">Ecosystem Considerations</w:t>
      </w:r>
    </w:p>
    <w:bookmarkStart w:id="48" w:name="environmental-variability"/>
    <w:p>
      <w:pPr>
        <w:pStyle w:val="Heading4"/>
      </w:pPr>
      <w:r>
        <w:t xml:space="preserve">Environmental Variability</w:t>
      </w:r>
    </w:p>
    <w:p>
      <w:pPr>
        <w:pStyle w:val="FirstParagraph"/>
      </w:pPr>
      <w:r>
        <w:t xml:space="preserve">Average bottom temperatures in the 2019 Snow Crab survey were near the</w:t>
      </w:r>
      <w:r>
        <w:t xml:space="preserve"> </w:t>
      </w:r>
      <w:r>
        <w:t xml:space="preserve">long-term median in all areas (Figure 11). A general warming trend has</w:t>
      </w:r>
      <w:r>
        <w:t xml:space="preserve"> </w:t>
      </w:r>
      <w:r>
        <w:t xml:space="preserve">been observed since the early 1990s on the Scotian Shelf. Temperatures</w:t>
      </w:r>
      <w:r>
        <w:t xml:space="preserve"> </w:t>
      </w:r>
      <w:r>
        <w:t xml:space="preserve">are more stable in N-ENS than S-ENS; 4X exhibits the most erratic annual</w:t>
      </w:r>
      <w:r>
        <w:t xml:space="preserve"> </w:t>
      </w:r>
      <w:r>
        <w:t xml:space="preserve">mean bottom temperatures.</w:t>
      </w:r>
    </w:p>
    <w:bookmarkEnd w:id="48"/>
    <w:bookmarkStart w:id="51" w:name="predation"/>
    <w:p>
      <w:pPr>
        <w:pStyle w:val="Heading4"/>
      </w:pPr>
      <w:r>
        <w:t xml:space="preserve">Predation</w:t>
      </w:r>
    </w:p>
    <w:p>
      <w:pPr>
        <w:pStyle w:val="FirstParagraph"/>
      </w:pPr>
      <w:r>
        <w:t xml:space="preserve">Based on stomach sampling, Atlantic Halibut (Figure 12; DFO 2018),</w:t>
      </w:r>
      <w:r>
        <w:t xml:space="preserve"> </w:t>
      </w:r>
      <w:r>
        <w:t xml:space="preserve">Atlantic Wolffish, Thorny Skate (Figure 13), and other skate species,</w:t>
      </w:r>
      <w:r>
        <w:t xml:space="preserve"> </w:t>
      </w:r>
      <w:r>
        <w:t xml:space="preserve">appear to be the predominant predators of Snow Crab. Localized predation</w:t>
      </w:r>
      <w:r>
        <w:t xml:space="preserve"> </w:t>
      </w:r>
      <w:r>
        <w:t xml:space="preserve">rates may be much higher due to relative local abundance and encounter</w:t>
      </w:r>
      <w:r>
        <w:t xml:space="preserve"> </w:t>
      </w:r>
      <w:r>
        <w:t xml:space="preserve">rates.</w:t>
      </w:r>
    </w:p>
    <w:p>
      <w:pPr>
        <w:pStyle w:val="BodyText"/>
      </w:pPr>
      <w:r>
        <w:t xml:space="preserve">Atlantic Halibut biomass has increased almost exponentially (Figure 12;</w:t>
      </w:r>
      <w:r>
        <w:t xml:space="preserve"> </w:t>
      </w:r>
      <w:r>
        <w:t xml:space="preserve">DFO 2018); consequently, the total number of Snow Crab consumed by</w:t>
      </w:r>
      <w:r>
        <w:t xml:space="preserve"> </w:t>
      </w:r>
      <w:r>
        <w:t xml:space="preserve">Halibut is expected to increase. A proliferation of Halibut,</w:t>
      </w:r>
      <w:r>
        <w:t xml:space="preserve"> </w:t>
      </w:r>
      <w:r>
        <w:t xml:space="preserve">particularly the largest fish with large mouth gapes, could result in</w:t>
      </w:r>
      <w:r>
        <w:t xml:space="preserve"> </w:t>
      </w:r>
      <w:r>
        <w:t xml:space="preserve">the predation of larger Snow Crab. Predation of commercial-sixed males</w:t>
      </w:r>
      <w:r>
        <w:t xml:space="preserve"> </w:t>
      </w:r>
      <w:r>
        <w:t xml:space="preserve">has seldom been previously experienced. Anecdotal reports of large</w:t>
      </w:r>
      <w:r>
        <w:t xml:space="preserve"> </w:t>
      </w:r>
      <w:r>
        <w:t xml:space="preserve">Atlantic Halibut with multiple mature female Snow Crab in their stomachs</w:t>
      </w:r>
      <w:r>
        <w:t xml:space="preserve"> </w:t>
      </w:r>
      <w:r>
        <w:t xml:space="preserve">support this assertion. Increasing predation by Halibut lowers both the</w:t>
      </w:r>
      <w:r>
        <w:t xml:space="preserve"> </w:t>
      </w:r>
      <w:r>
        <w:t xml:space="preserve">abundance and reproductive potential of Snow Crab on the Scotian Shelf.</w:t>
      </w:r>
    </w:p>
    <w:p>
      <w:pPr>
        <w:pStyle w:val="TableCaption"/>
      </w:pPr>
      <w:bookmarkStart w:id="49" w:name="table4"/>
      <w:r>
        <w:t xml:space="preserve">Table </w:t>
      </w:r>
      <w:fldSimple w:instr="SEQ Table \* ARABIC ">
        <w:r>
          <w:t>4</w:t>
        </w:r>
      </w:fldSimple>
      <w:r>
        <w:t xml:space="preserve">:</w:t>
      </w:r>
      <w:bookmarkEnd w:id="49"/>
      <w:r>
        <w:t xml:space="preserve"> </w:t>
      </w:r>
      <w:r>
        <w:t xml:space="preserve">Figures 12 and 13 in table format</w:t>
      </w:r>
    </w:p>
    <w:tbl>
      <w:tblPr>
        <w:tblStyle w:val="Table"/>
        <w:tblW w:type="pct" w:w="5000"/>
        <w:tblLook w:firstRow="1" w:lastRow="0" w:firstColumn="0" w:lastColumn="0" w:noHBand="0" w:noVBand="0" w:val="0020"/>
        <w:tblCaption w:val="Figures 12 and 13 in table format"/>
      </w:tblPr>
      <w:tblGrid>
        <w:gridCol w:w="3591"/>
        <w:gridCol w:w="500"/>
        <w:gridCol w:w="3827"/>
      </w:tblGrid>
      <w:tr>
        <w:trPr>
          <w:tblHeader w:val="true"/>
        </w:trPr>
        <w:tc>
          <w:tcPr/>
          <w:p>
            <w:pPr>
              <w:pStyle w:val="Compact"/>
              <w:jc w:val="center"/>
            </w:pPr>
            <w:r>
              <w:drawing>
                <wp:inline>
                  <wp:extent cx="5943600" cy="3588290"/>
                  <wp:effectExtent b="0" l="0" r="0" t="0"/>
                  <wp:docPr descr="" title="" id="1" name="Picture"/>
                  <a:graphic>
                    <a:graphicData uri="http://schemas.openxmlformats.org/drawingml/2006/picture">
                      <pic:pic>
                        <pic:nvPicPr>
                          <pic:cNvPr descr="media/halibut_biomass_timeseries.png" id="0" name="Picture"/>
                          <pic:cNvPicPr>
                            <a:picLocks noChangeArrowheads="1" noChangeAspect="1"/>
                          </pic:cNvPicPr>
                        </pic:nvPicPr>
                        <pic:blipFill>
                          <a:blip r:embed="rId50"/>
                          <a:stretch>
                            <a:fillRect/>
                          </a:stretch>
                        </pic:blipFill>
                        <pic:spPr bwMode="auto">
                          <a:xfrm>
                            <a:off x="0" y="0"/>
                            <a:ext cx="5943600" cy="3588290"/>
                          </a:xfrm>
                          <a:prstGeom prst="rect">
                            <a:avLst/>
                          </a:prstGeom>
                          <a:noFill/>
                          <a:ln w="9525">
                            <a:noFill/>
                            <a:headEnd/>
                            <a:tailEnd/>
                          </a:ln>
                        </pic:spPr>
                      </pic:pic>
                    </a:graphicData>
                  </a:graphic>
                </wp:inline>
              </w:drawing>
            </w:r>
            <w:r>
              <w:t xml:space="preserve">{width=</w:t>
            </w:r>
            <w:r>
              <w:t xml:space="preserve">“</w:t>
            </w:r>
            <w:r>
              <w:t xml:space="preserve">2.7263888888888888in</w:t>
            </w:r>
            <w:r>
              <w:t xml:space="preserve">”</w:t>
            </w:r>
            <w:r>
              <w:t xml:space="preserve"> </w:t>
            </w:r>
            <w:r>
              <w:t xml:space="preserve">[](media/thorny_skate_biomass</w:t>
            </w:r>
            <w:r>
              <w:t xml:space="preserve"> </w:t>
            </w:r>
            <w:r>
              <w:t xml:space="preserve">height=</w:t>
            </w:r>
            <w:r>
              <w:t xml:space="preserve">“</w:t>
            </w:r>
            <w:r>
              <w:t xml:space="preserve">3.12924321959755in</w:t>
            </w:r>
            <w:r>
              <w:t xml:space="preserve">”</w:t>
            </w:r>
            <w:r>
              <w:t xml:space="preserve">}</w:t>
            </w:r>
          </w:p>
        </w:tc>
        <w:tc>
          <w:tcPr/>
          <w:p>
            <w:pPr>
              <w:pStyle w:val="Compact"/>
              <w:jc w:val="left"/>
            </w:pPr>
            <w:r>
              <w:t xml:space="preserve">_timeseries.png){</w:t>
            </w:r>
          </w:p>
        </w:tc>
        <w:tc>
          <w:tcPr/>
          <w:p>
            <w:pPr>
              <w:pStyle w:val="Compact"/>
              <w:jc w:val="left"/>
            </w:pPr>
            <w:r>
              <w:t xml:space="preserve">width=</w:t>
            </w:r>
            <w:r>
              <w:t xml:space="preserve">“</w:t>
            </w:r>
            <w:r>
              <w:t xml:space="preserve">2.888059930008749in</w:t>
            </w:r>
            <w:r>
              <w:t xml:space="preserve">”</w:t>
            </w:r>
            <w:r>
              <w:t xml:space="preserve"> </w:t>
            </w:r>
            <w:r>
              <w:t xml:space="preserve">height=</w:t>
            </w:r>
            <w:r>
              <w:t xml:space="preserve">“</w:t>
            </w:r>
            <w:r>
              <w:t xml:space="preserve">3.2778346456692913in</w:t>
            </w:r>
            <w:r>
              <w:t xml:space="preserve">”</w:t>
            </w:r>
            <w:r>
              <w:t xml:space="preserve">}</w:t>
            </w:r>
          </w:p>
        </w:tc>
      </w:tr>
      <w:tr>
        <w:tc>
          <w:tcPr/>
          <w:p>
            <w:pPr>
              <w:pStyle w:val="Compact"/>
              <w:jc w:val="center"/>
            </w:pPr>
            <w:r>
              <w:t xml:space="preserve">Figure 12. Atlantic Halibut biomass for the Scotian Shelf and Southern Grand Banks from the Halibut stock assessment</w:t>
            </w:r>
            <w:r>
              <w:t xml:space="preserve"> </w:t>
            </w:r>
            <w:r>
              <w:t xml:space="preserve">model (black lines) and the Halibut survey (blue circles). The solid black line is total biomass, the dashed line is</w:t>
            </w:r>
            <w:r>
              <w:t xml:space="preserve"> </w:t>
            </w:r>
            <w:r>
              <w:t xml:space="preserve">legal biomass, and the dotted line is spawning stock biomass. The solid red bar is the current 3-year mean of the Halibu</w:t>
            </w:r>
            <w:r>
              <w:t xml:space="preserve"> </w:t>
            </w:r>
            <w:r>
              <w:t xml:space="preserve">survey biomass index.</w:t>
            </w:r>
          </w:p>
        </w:tc>
        <w:tc>
          <w:tcPr/>
          <w:p>
            <w:pPr>
              <w:pStyle w:val="Compact"/>
              <w:jc w:val="left"/>
            </w:pPr>
            <w:r>
              <w:t xml:space="preserve">Figure 13.</w:t>
            </w:r>
            <w:r>
              <w:t xml:space="preserve"> </w:t>
            </w:r>
            <w:r>
              <w:t xml:space="preserve">Thorny Skate</w:t>
            </w:r>
            <w:r>
              <w:t xml:space="preserve"> </w:t>
            </w:r>
            <w:r>
              <w:t xml:space="preserve">t biomass trend</w:t>
            </w:r>
            <w:r>
              <w:t xml:space="preserve"> </w:t>
            </w:r>
            <w:r>
              <w:t xml:space="preserve">from annual Sno</w:t>
            </w:r>
            <w:r>
              <w:t xml:space="preserve"> </w:t>
            </w:r>
            <w:r>
              <w:t xml:space="preserve">Crab survey.</w:t>
            </w:r>
            <w:r>
              <w:t xml:space="preserve"> </w:t>
            </w:r>
            <w:r>
              <w:t xml:space="preserve">Horizontal line</w:t>
            </w:r>
            <w:r>
              <w:t xml:space="preserve"> </w:t>
            </w:r>
            <w:r>
              <w:t xml:space="preserve">indicate the</w:t>
            </w:r>
            <w:r>
              <w:t xml:space="preserve"> </w:t>
            </w:r>
            <w:r>
              <w:t xml:space="preserve">long-term media</w:t>
            </w:r>
            <w:r>
              <w:t xml:space="preserve"> </w:t>
            </w:r>
            <w:r>
              <w:t xml:space="preserve">within each</w:t>
            </w:r>
            <w:r>
              <w:t xml:space="preserve"> </w:t>
            </w:r>
            <w:r>
              <w:t xml:space="preserve">subarea. Error</w:t>
            </w:r>
            <w:r>
              <w:t xml:space="preserve"> </w:t>
            </w:r>
            <w:r>
              <w:t xml:space="preserve">bars are 95%</w:t>
            </w:r>
            <w:r>
              <w:t xml:space="preserve"> </w:t>
            </w:r>
            <w:r>
              <w:t xml:space="preserve">Confidence</w:t>
            </w:r>
            <w:r>
              <w:t xml:space="preserve"> </w:t>
            </w:r>
            <w:r>
              <w:t xml:space="preserve">Intervals</w:t>
            </w:r>
            <w:r>
              <w:t xml:space="preserve"> </w:t>
            </w:r>
            <w:r>
              <w:t xml:space="preserve">estimated by</w:t>
            </w:r>
            <w:r>
              <w:t xml:space="preserve"> </w:t>
            </w:r>
            <w:r>
              <w:t xml:space="preserve">bootstrapping.</w:t>
            </w:r>
          </w:p>
        </w:tc>
        <w:tc>
          <w:tcPr/>
          <w:p>
            <w:pPr>
              <w:pStyle w:val="Compact"/>
            </w:pPr>
          </w:p>
        </w:tc>
      </w:tr>
    </w:tbl>
    <w:bookmarkEnd w:id="51"/>
    <w:bookmarkStart w:id="52" w:name="human-influences"/>
    <w:p>
      <w:pPr>
        <w:pStyle w:val="Heading4"/>
      </w:pPr>
      <w:r>
        <w:t xml:space="preserve">Human Influences</w:t>
      </w:r>
    </w:p>
    <w:p>
      <w:pPr>
        <w:pStyle w:val="FirstParagraph"/>
      </w:pPr>
      <w:r>
        <w:t xml:space="preserve">Oil and gas development/exploitation continues to occur on the Scotian</w:t>
      </w:r>
      <w:r>
        <w:t xml:space="preserve"> </w:t>
      </w:r>
      <w:r>
        <w:t xml:space="preserve">Shelf near, or upstream from, major crab fishing grounds and population</w:t>
      </w:r>
      <w:r>
        <w:t xml:space="preserve"> </w:t>
      </w:r>
      <w:r>
        <w:t xml:space="preserve">centres in both N-ENS and S-ENS. The effects of seismic methods of</w:t>
      </w:r>
      <w:r>
        <w:t xml:space="preserve"> </w:t>
      </w:r>
      <w:r>
        <w:t xml:space="preserve">exploration upon potentially vulnerable components of the Snow Crab</w:t>
      </w:r>
      <w:r>
        <w:t xml:space="preserve"> </w:t>
      </w:r>
      <w:r>
        <w:t xml:space="preserve">population (eggs, larvae, soft-shelled crab) and the long-term</w:t>
      </w:r>
      <w:r>
        <w:t xml:space="preserve"> </w:t>
      </w:r>
      <w:r>
        <w:t xml:space="preserve">biological effects of development upon this long-lived species remain</w:t>
      </w:r>
      <w:r>
        <w:t xml:space="preserve"> </w:t>
      </w:r>
      <w:r>
        <w:t xml:space="preserve">unknown (DFO 2004; Boudreau et al. 2009; Courtenay et al. 2009). Future</w:t>
      </w:r>
      <w:r>
        <w:t xml:space="preserve"> </w:t>
      </w:r>
      <w:r>
        <w:t xml:space="preserve">seismic work has been proposed throughout the Scotian Shelf in 2020-2021</w:t>
      </w:r>
      <w:r>
        <w:t xml:space="preserve"> </w:t>
      </w:r>
      <w:r>
        <w:t xml:space="preserve">(CNSOPB 2019).</w:t>
      </w:r>
    </w:p>
    <w:p>
      <w:pPr>
        <w:pStyle w:val="BodyText"/>
      </w:pPr>
      <w:r>
        <w:t xml:space="preserve">Undersea cables have been identified by fishers as another source of</w:t>
      </w:r>
      <w:r>
        <w:t xml:space="preserve"> </w:t>
      </w:r>
      <w:r>
        <w:t xml:space="preserve">concern, in particular, the Emera Maritime Link subsea electricity</w:t>
      </w:r>
      <w:r>
        <w:t xml:space="preserve"> </w:t>
      </w:r>
      <w:r>
        <w:t xml:space="preserve">cables spanning approximately 180 km from Cape Ray, Newfoundland to</w:t>
      </w:r>
      <w:r>
        <w:t xml:space="preserve"> </w:t>
      </w:r>
      <w:r>
        <w:t xml:space="preserve">Point Aconi, Nova Scotia. At present, there is no information that can</w:t>
      </w:r>
      <w:r>
        <w:t xml:space="preserve"> </w:t>
      </w:r>
      <w:r>
        <w:t xml:space="preserve">be presented to definitively describe their effects upon Snow Crab.</w:t>
      </w:r>
    </w:p>
    <w:p>
      <w:pPr>
        <w:pStyle w:val="BodyText"/>
      </w:pPr>
      <w:r>
        <w:t xml:space="preserve">St. Anns Bank was designated as a Marine Protected Area (MPA) in 2017</w:t>
      </w:r>
      <w:r>
        <w:t xml:space="preserve"> </w:t>
      </w:r>
      <w:r>
        <w:t xml:space="preserve">(Canada Gazette 2016). The presence of a refuge from fishing activities</w:t>
      </w:r>
      <w:r>
        <w:t xml:space="preserve"> </w:t>
      </w:r>
      <w:r>
        <w:t xml:space="preserve">is potentially positive as it could serve as a fallow area. However, if</w:t>
      </w:r>
      <w:r>
        <w:t xml:space="preserve"> </w:t>
      </w:r>
      <w:r>
        <w:t xml:space="preserve">the reserve is disproportionately beneficial to other organisms, either</w:t>
      </w:r>
      <w:r>
        <w:t xml:space="preserve"> </w:t>
      </w:r>
      <w:r>
        <w:t xml:space="preserve">predators or prey of Snow Crab, the effects upon Snow Crab could be</w:t>
      </w:r>
      <w:r>
        <w:t xml:space="preserve"> </w:t>
      </w:r>
      <w:r>
        <w:t xml:space="preserve">mixed. The long-term effects of the MPA cannot be determined at this</w:t>
      </w:r>
      <w:r>
        <w:t xml:space="preserve"> </w:t>
      </w:r>
      <w:r>
        <w:t xml:space="preserve">point.</w:t>
      </w:r>
    </w:p>
    <w:bookmarkEnd w:id="52"/>
    <w:bookmarkStart w:id="53" w:name="bycatch-and-incidental-catch"/>
    <w:p>
      <w:pPr>
        <w:pStyle w:val="Heading4"/>
      </w:pPr>
      <w:r>
        <w:t xml:space="preserve">Bycatch and Incidental Catch</w:t>
      </w:r>
    </w:p>
    <w:p>
      <w:pPr>
        <w:pStyle w:val="FirstParagraph"/>
      </w:pPr>
      <w:r>
        <w:t xml:space="preserve">Bycatch levels in the SSE Snow Crab fishery have been extremely low over</w:t>
      </w:r>
      <w:r>
        <w:t xml:space="preserve"> </w:t>
      </w:r>
      <w:r>
        <w:t xml:space="preserve">the long term. Estimates of bycatch in this fishery are extrapolated</w:t>
      </w:r>
      <w:r>
        <w:t xml:space="preserve"> </w:t>
      </w:r>
      <w:r>
        <w:t xml:space="preserve">from at-sea observer estimates. For the years 2016, 2017, and 2019, the</w:t>
      </w:r>
      <w:r>
        <w:t xml:space="preserve"> </w:t>
      </w:r>
      <w:r>
        <w:t xml:space="preserve">cumulative bycatch in N-ENS and S-ENS was &lt;0.02% of landings. No</w:t>
      </w:r>
      <w:r>
        <w:t xml:space="preserve"> </w:t>
      </w:r>
      <w:r>
        <w:t xml:space="preserve">species-specific estimates were available for 2018 due to improper</w:t>
      </w:r>
      <w:r>
        <w:t xml:space="preserve"> </w:t>
      </w:r>
      <w:r>
        <w:t xml:space="preserve">sampling protocol adherence. In 4X, 2015-2017 bycatch represented 0.03%</w:t>
      </w:r>
      <w:r>
        <w:t xml:space="preserve"> </w:t>
      </w:r>
      <w:r>
        <w:t xml:space="preserve">of total snow crab landings. There was no 4X fishery for the 2018/19</w:t>
      </w:r>
      <w:r>
        <w:t xml:space="preserve"> </w:t>
      </w:r>
      <w:r>
        <w:t xml:space="preserve">season, . The majority of bycatch for all areas is composed of other</w:t>
      </w:r>
      <w:r>
        <w:t xml:space="preserve"> </w:t>
      </w:r>
      <w:r>
        <w:t xml:space="preserve">invertebrate species (e.g. Northern Stone Crab, Jonah Crab and American</w:t>
      </w:r>
      <w:r>
        <w:t xml:space="preserve"> </w:t>
      </w:r>
      <w:r>
        <w:t xml:space="preserve">Lobster) for which higher survival rates can be expected after being</w:t>
      </w:r>
      <w:r>
        <w:t xml:space="preserve"> </w:t>
      </w:r>
      <w:r>
        <w:t xml:space="preserve">released as compared to finfish discards. In previous years, at-sea</w:t>
      </w:r>
      <w:r>
        <w:t xml:space="preserve"> </w:t>
      </w:r>
      <w:r>
        <w:t xml:space="preserve">observers reported two Leatherback Sea Turtles as having been entangled</w:t>
      </w:r>
      <w:r>
        <w:t xml:space="preserve"> </w:t>
      </w:r>
      <w:r>
        <w:t xml:space="preserve">in buoy lines. Both were released alive, though bleeding. A Humpback</w:t>
      </w:r>
      <w:r>
        <w:t xml:space="preserve"> </w:t>
      </w:r>
      <w:r>
        <w:t xml:space="preserve">Whale was entangled in buoy lines in 2012, which was released with</w:t>
      </w:r>
      <w:r>
        <w:t xml:space="preserve"> </w:t>
      </w:r>
      <w:r>
        <w:t xml:space="preserve">little or no harm to the animal. Multiple entanglements of North</w:t>
      </w:r>
      <w:r>
        <w:t xml:space="preserve"> </w:t>
      </w:r>
      <w:r>
        <w:t xml:space="preserve">Atlantic Right Whales in a neighbouring Snow Crab area (CFA 12) during</w:t>
      </w:r>
      <w:r>
        <w:t xml:space="preserve"> </w:t>
      </w:r>
      <w:r>
        <w:t xml:space="preserve">the summers of 2017 and 2019 has increased vigilance and modified</w:t>
      </w:r>
      <w:r>
        <w:t xml:space="preserve"> </w:t>
      </w:r>
      <w:r>
        <w:t xml:space="preserve">management measures within Snow Crab fisheries in the SSE to minimize</w:t>
      </w:r>
      <w:r>
        <w:t xml:space="preserve"> </w:t>
      </w:r>
      <w:r>
        <w:t xml:space="preserve">the potential for marine mammal interactions with Snow Crab fishing</w:t>
      </w:r>
      <w:r>
        <w:t xml:space="preserve"> </w:t>
      </w:r>
      <w:r>
        <w:t xml:space="preserve">gear.</w:t>
      </w:r>
    </w:p>
    <w:p>
      <w:pPr>
        <w:pStyle w:val="BodyText"/>
      </w:pPr>
      <w:r>
        <w:t xml:space="preserve">Mortality of Snow Crab from other fisheries is still not quantified.</w:t>
      </w:r>
      <w:r>
        <w:t xml:space="preserve"> </w:t>
      </w:r>
      <w:r>
        <w:t xml:space="preserve">Trawls can increase mortality, especially upon the soft-shelled phases</w:t>
      </w:r>
      <w:r>
        <w:t xml:space="preserve"> </w:t>
      </w:r>
      <w:r>
        <w:t xml:space="preserve">of Snow Crab. The lack of trawl fisheries (other than shrimp trawling),</w:t>
      </w:r>
      <w:r>
        <w:t xml:space="preserve"> </w:t>
      </w:r>
      <w:r>
        <w:t xml:space="preserve">in the majority of Snow Crab habitat on the Scotian Shelf, limits this</w:t>
      </w:r>
      <w:r>
        <w:t xml:space="preserve"> </w:t>
      </w:r>
      <w:r>
        <w:t xml:space="preserve">potential damage. Additional effort of high bottom contact fisheries</w:t>
      </w:r>
      <w:r>
        <w:t xml:space="preserve"> </w:t>
      </w:r>
      <w:r>
        <w:t xml:space="preserve">(such as dredging) could negatively impact Snow Crab habitat. The</w:t>
      </w:r>
      <w:r>
        <w:t xml:space="preserve"> </w:t>
      </w:r>
      <w:r>
        <w:t xml:space="preserve">temporal and spatial overlap of Snow Crab and Lobster populations in 4X</w:t>
      </w:r>
      <w:r>
        <w:t xml:space="preserve"> </w:t>
      </w:r>
      <w:r>
        <w:t xml:space="preserve">introduce a potential source of increased mortality or animal stress.</w:t>
      </w:r>
      <w:r>
        <w:t xml:space="preserve"> </w:t>
      </w:r>
      <w:r>
        <w:t xml:space="preserve">The Lobster fishery in 4X (Lobster Fishing Areas 33-34) is active for 6</w:t>
      </w:r>
      <w:r>
        <w:t xml:space="preserve"> </w:t>
      </w:r>
      <w:r>
        <w:t xml:space="preserve">months of the year with hundreds of participants.</w:t>
      </w:r>
    </w:p>
    <w:p>
      <w:pPr>
        <w:pStyle w:val="BodyText"/>
      </w:pPr>
      <w:r>
        <w:t xml:space="preserve">Bottom damage from the placement of Snow Crab traps is thought to be</w:t>
      </w:r>
      <w:r>
        <w:t xml:space="preserve"> </w:t>
      </w:r>
      <w:r>
        <w:t xml:space="preserve">minimal.</w:t>
      </w:r>
    </w:p>
    <w:bookmarkEnd w:id="53"/>
    <w:bookmarkEnd w:id="54"/>
    <w:bookmarkStart w:id="55" w:name="sources-of-uncertainty"/>
    <w:p>
      <w:pPr>
        <w:pStyle w:val="Heading3"/>
      </w:pPr>
      <w:r>
        <w:t xml:space="preserve">Sources of Uncertainty</w:t>
      </w:r>
    </w:p>
    <w:p>
      <w:pPr>
        <w:pStyle w:val="FirstParagraph"/>
      </w:pPr>
      <w:r>
        <w:t xml:space="preserve">Two primary sources of uncertainty exist with the Snow Crab population</w:t>
      </w:r>
      <w:r>
        <w:t xml:space="preserve"> </w:t>
      </w:r>
      <w:r>
        <w:t xml:space="preserve">on the Scotian Shelf: environmental uncertainty associated with climate</w:t>
      </w:r>
      <w:r>
        <w:t xml:space="preserve"> </w:t>
      </w:r>
      <w:r>
        <w:t xml:space="preserve">change and uncertainty in the relative abundance of predators. To remain</w:t>
      </w:r>
      <w:r>
        <w:t xml:space="preserve"> </w:t>
      </w:r>
      <w:r>
        <w:t xml:space="preserve">adaptive in the face of these significant uncertainties, industry and</w:t>
      </w:r>
      <w:r>
        <w:t xml:space="preserve"> </w:t>
      </w:r>
      <w:r>
        <w:t xml:space="preserve">management must continue to be mindful and vigilant in maintaining a</w:t>
      </w:r>
      <w:r>
        <w:t xml:space="preserve"> </w:t>
      </w:r>
      <w:r>
        <w:t xml:space="preserve">small fishery, and more generally, a smaller human footprint, such that</w:t>
      </w:r>
      <w:r>
        <w:t xml:space="preserve"> </w:t>
      </w:r>
      <w:r>
        <w:t xml:space="preserve">these larger ecosystem uncertainties will not be further exacerbated.</w:t>
      </w:r>
    </w:p>
    <w:p>
      <w:pPr>
        <w:pStyle w:val="BodyText"/>
      </w:pPr>
      <w:r>
        <w:t xml:space="preserve">Through a peer review process, a biomass estimation model was proposed</w:t>
      </w:r>
      <w:r>
        <w:t xml:space="preserve"> </w:t>
      </w:r>
      <w:r>
        <w:t xml:space="preserve">and compared with other model formulations. Though temporal trends in</w:t>
      </w:r>
      <w:r>
        <w:t xml:space="preserve"> </w:t>
      </w:r>
      <w:r>
        <w:t xml:space="preserve">biomass were similar between various models, absolute magnitude varied.</w:t>
      </w:r>
      <w:r>
        <w:t xml:space="preserve"> </w:t>
      </w:r>
      <w:r>
        <w:t xml:space="preserve">Reviewers identified the need for further model testing to justify the</w:t>
      </w:r>
      <w:r>
        <w:t xml:space="preserve"> </w:t>
      </w:r>
      <w:r>
        <w:t xml:space="preserve">chosen model and to minimize model related uncertainty. The use of a</w:t>
      </w:r>
      <w:r>
        <w:t xml:space="preserve"> </w:t>
      </w:r>
      <w:r>
        <w:t xml:space="preserve">stock assessment model that incorporates ecosystem considerations (such</w:t>
      </w:r>
      <w:r>
        <w:t xml:space="preserve"> </w:t>
      </w:r>
      <w:r>
        <w:t xml:space="preserve">as environmental conditions and species composition) highlights the need</w:t>
      </w:r>
      <w:r>
        <w:t xml:space="preserve"> </w:t>
      </w:r>
      <w:r>
        <w:t xml:space="preserve">for greater data density to inform the model and further improve the</w:t>
      </w:r>
      <w:r>
        <w:t xml:space="preserve"> </w:t>
      </w:r>
      <w:r>
        <w:t xml:space="preserve">utility of modelled results for stock assessment purposes.</w:t>
      </w:r>
    </w:p>
    <w:p>
      <w:pPr>
        <w:pStyle w:val="BodyText"/>
      </w:pPr>
      <w:r>
        <w:t xml:space="preserve">Fishery catch rates are potentially biased indicators of Snow Crab</w:t>
      </w:r>
      <w:r>
        <w:t xml:space="preserve"> </w:t>
      </w:r>
      <w:r>
        <w:t xml:space="preserve">abundance. The spatial and temporal distribution of Snow Crab and</w:t>
      </w:r>
      <w:r>
        <w:t xml:space="preserve"> </w:t>
      </w:r>
      <w:r>
        <w:t xml:space="preserve">fishing effort are not uniform, varying strongly with season, bottom</w:t>
      </w:r>
      <w:r>
        <w:t xml:space="preserve"> </w:t>
      </w:r>
      <w:r>
        <w:t xml:space="preserve">temperatures, food availability, reproductive behavior,</w:t>
      </w:r>
      <w:r>
        <w:t xml:space="preserve"> </w:t>
      </w:r>
      <w:r>
        <w:t xml:space="preserve">substrate/shelter availability, relative occurrence of soft and immature</w:t>
      </w:r>
      <w:r>
        <w:t xml:space="preserve"> </w:t>
      </w:r>
      <w:r>
        <w:t xml:space="preserve">crab, species composition, fisher experience, bait type, soak time, and</w:t>
      </w:r>
      <w:r>
        <w:t xml:space="preserve"> </w:t>
      </w:r>
      <w:r>
        <w:t xml:space="preserve">ambient currents. Catch rates have not been adjusted for these</w:t>
      </w:r>
      <w:r>
        <w:t xml:space="preserve"> </w:t>
      </w:r>
      <w:r>
        <w:t xml:space="preserve">influences. Fishery catch rates are used primarily as a measure of</w:t>
      </w:r>
      <w:r>
        <w:t xml:space="preserve"> </w:t>
      </w:r>
      <w:r>
        <w:t xml:space="preserve">fishery performance.</w:t>
      </w:r>
    </w:p>
    <w:p>
      <w:pPr>
        <w:pStyle w:val="BodyText"/>
      </w:pPr>
      <w:r>
        <w:t xml:space="preserve">Anecdotal reports from the Snow Crab industry suggest that illegal,</w:t>
      </w:r>
      <w:r>
        <w:t xml:space="preserve"> </w:t>
      </w:r>
      <w:r>
        <w:t xml:space="preserve">unreported, unregulated fishing activities may be occurring,</w:t>
      </w:r>
      <w:r>
        <w:t xml:space="preserve"> </w:t>
      </w:r>
      <w:r>
        <w:t xml:space="preserve">particularly in S-ENS. Such activities increase the uncertainty in the</w:t>
      </w:r>
      <w:r>
        <w:t xml:space="preserve"> </w:t>
      </w:r>
      <w:r>
        <w:t xml:space="preserve">stock assessment results and hinder the steps made toward applying a</w:t>
      </w:r>
      <w:r>
        <w:t xml:space="preserve"> </w:t>
      </w:r>
      <w:r>
        <w:t xml:space="preserve">precautionary approach to the management of this resource. High catch</w:t>
      </w:r>
      <w:r>
        <w:t xml:space="preserve"> </w:t>
      </w:r>
      <w:r>
        <w:t xml:space="preserve">rates, reduced TACs, and increased landed price for Snow Crab, increase</w:t>
      </w:r>
      <w:r>
        <w:t xml:space="preserve"> </w:t>
      </w:r>
      <w:r>
        <w:t xml:space="preserve">the potential for such illegal activities. By addressing this issue, DFO</w:t>
      </w:r>
      <w:r>
        <w:t xml:space="preserve"> </w:t>
      </w:r>
      <w:r>
        <w:t xml:space="preserve">Conservation &amp; Protection, in conjunction with stakeholders, would</w:t>
      </w:r>
      <w:r>
        <w:t xml:space="preserve"> </w:t>
      </w:r>
      <w:r>
        <w:t xml:space="preserve">decrease this source of uncertainty.</w:t>
      </w:r>
    </w:p>
    <w:p>
      <w:pPr>
        <w:pStyle w:val="BodyText"/>
      </w:pPr>
      <w:r>
        <w:t xml:space="preserve">Concerns are continually raised by the fishing industry regarding the</w:t>
      </w:r>
      <w:r>
        <w:t xml:space="preserve"> </w:t>
      </w:r>
      <w:r>
        <w:t xml:space="preserve">impact of seismic and other industrial activity (such as cable trenching</w:t>
      </w:r>
      <w:r>
        <w:t xml:space="preserve"> </w:t>
      </w:r>
      <w:r>
        <w:t xml:space="preserve">and installation) on local Snow Crab populations, and the potential</w:t>
      </w:r>
      <w:r>
        <w:t xml:space="preserve"> </w:t>
      </w:r>
      <w:r>
        <w:t xml:space="preserve">source of uncertainty it raises for future productivity and the impacts</w:t>
      </w:r>
      <w:r>
        <w:t xml:space="preserve"> </w:t>
      </w:r>
      <w:r>
        <w:t xml:space="preserve">on the stock assessment results.</w:t>
      </w:r>
    </w:p>
    <w:bookmarkEnd w:id="55"/>
    <w:bookmarkEnd w:id="56"/>
    <w:bookmarkStart w:id="60" w:name="conclusions-and-advice"/>
    <w:p>
      <w:pPr>
        <w:pStyle w:val="Heading2"/>
      </w:pPr>
      <w:r>
        <w:t xml:space="preserve">CONCLUSIONS AND ADVICE</w:t>
      </w:r>
    </w:p>
    <w:p>
      <w:pPr>
        <w:pStyle w:val="FirstParagraph"/>
      </w:pPr>
      <w:r>
        <w:t xml:space="preserve">Potential catches of soft-shell Snow Crab are a concern in N-ENS and</w:t>
      </w:r>
      <w:r>
        <w:t xml:space="preserve"> </w:t>
      </w:r>
      <w:r>
        <w:t xml:space="preserve">S-ENS, depending on the balance of spring or summer fishing activities.</w:t>
      </w:r>
      <w:r>
        <w:t xml:space="preserve"> </w:t>
      </w:r>
      <w:r>
        <w:t xml:space="preserve">Timely responses from industry to avoid fishing in areas showing</w:t>
      </w:r>
      <w:r>
        <w:t xml:space="preserve"> </w:t>
      </w:r>
      <w:r>
        <w:t xml:space="preserve">potential or actual high incidence of soft-shell Snow Crab must continue</w:t>
      </w:r>
      <w:r>
        <w:t xml:space="preserve"> </w:t>
      </w:r>
      <w:r>
        <w:t xml:space="preserve">if unnecessary mortality of future recruits is to be averted. An earlier</w:t>
      </w:r>
      <w:r>
        <w:t xml:space="preserve"> </w:t>
      </w:r>
      <w:r>
        <w:t xml:space="preserve">season in N-ENS and S-ENS has significantly reduced soft-shell handling.</w:t>
      </w:r>
      <w:r>
        <w:t xml:space="preserve"> </w:t>
      </w:r>
      <w:r>
        <w:t xml:space="preserve">Summer fishing activities, particularly in N-ENS, create additional</w:t>
      </w:r>
      <w:r>
        <w:t xml:space="preserve"> </w:t>
      </w:r>
      <w:r>
        <w:t xml:space="preserve">handling mortality to Snow Crab.</w:t>
      </w:r>
    </w:p>
    <w:p>
      <w:pPr>
        <w:pStyle w:val="BodyText"/>
      </w:pPr>
      <w:r>
        <w:t xml:space="preserve">A reference points-based Precautionary Approach has been implemented in</w:t>
      </w:r>
      <w:r>
        <w:t xml:space="preserve"> </w:t>
      </w:r>
      <w:r>
        <w:t xml:space="preserve">this fishery. The Lower Reference Point (LRP) and Upper Stock Reference</w:t>
      </w:r>
      <w:r>
        <w:t xml:space="preserve"> </w:t>
      </w:r>
      <w:r>
        <w:t xml:space="preserve">(USR) are 25% and 50% of carrying capacity, respectively. The Target</w:t>
      </w:r>
      <w:r>
        <w:t xml:space="preserve"> </w:t>
      </w:r>
      <w:r>
        <w:t xml:space="preserve">Removal Reference is 20% of the fishable biomass in each area and the</w:t>
      </w:r>
      <w:r>
        <w:t xml:space="preserve"> </w:t>
      </w:r>
      <w:r>
        <w:t xml:space="preserve">Removal Reference (RR) is not to exceed fishing mortality at Maximum</w:t>
      </w:r>
      <w:r>
        <w:t xml:space="preserve"> </w:t>
      </w:r>
      <w:r>
        <w:t xml:space="preserve">Sustainable Yield (F</w:t>
      </w:r>
      <w:r>
        <w:rPr>
          <w:vertAlign w:val="subscript"/>
        </w:rPr>
        <w:t xml:space="preserve">MSY</w:t>
      </w:r>
      <w:r>
        <w:t xml:space="preserve">). Various secondary indicators (population and</w:t>
      </w:r>
      <w:r>
        <w:t xml:space="preserve"> </w:t>
      </w:r>
      <w:r>
        <w:t xml:space="preserve">ecosystem) are taken into consideration for management decisions (Figure</w:t>
      </w:r>
      <w:r>
        <w:t xml:space="preserve"> </w:t>
      </w:r>
      <w:r>
        <w:t xml:space="preserve">14). The application of the target exploitation rate ranges, as defined</w:t>
      </w:r>
      <w:r>
        <w:t xml:space="preserve"> </w:t>
      </w:r>
      <w:r>
        <w:t xml:space="preserve">by the Harvest Control Rules, must be tempered by the adoption of the</w:t>
      </w:r>
      <w:r>
        <w:t xml:space="preserve"> </w:t>
      </w:r>
      <w:r>
        <w:t xml:space="preserve">new biomass estimation method. The upper end of the target exploitation</w:t>
      </w:r>
      <w:r>
        <w:t xml:space="preserve"> </w:t>
      </w:r>
      <w:r>
        <w:t xml:space="preserve">ranges are likely too high.</w:t>
      </w:r>
    </w:p>
    <w:bookmarkStart w:id="57" w:name="north-eastern-nova-scotia-n-ens"/>
    <w:p>
      <w:pPr>
        <w:pStyle w:val="Heading3"/>
      </w:pPr>
      <w:r>
        <w:t xml:space="preserve">North-Eastern Nova Scotia (N-ENS)</w:t>
      </w:r>
    </w:p>
    <w:p>
      <w:pPr>
        <w:pStyle w:val="FirstParagraph"/>
      </w:pPr>
      <w:r>
        <w:t xml:space="preserve">Large male snow crab must be protected to maintain habitat space and the</w:t>
      </w:r>
      <w:r>
        <w:t xml:space="preserve"> </w:t>
      </w:r>
      <w:r>
        <w:t xml:space="preserve">breeding capacity of the stock. A gap in future recruitment to the</w:t>
      </w:r>
      <w:r>
        <w:t xml:space="preserve"> </w:t>
      </w:r>
      <w:r>
        <w:t xml:space="preserve">fishery is expected in 3-4 years based on the size structure of the</w:t>
      </w:r>
      <w:r>
        <w:t xml:space="preserve"> </w:t>
      </w:r>
      <w:r>
        <w:t xml:space="preserve">N-ENS snow crab population. Both of these factors support conservative</w:t>
      </w:r>
      <w:r>
        <w:t xml:space="preserve"> </w:t>
      </w:r>
      <w:r>
        <w:t xml:space="preserve">harvest strategies.</w:t>
      </w:r>
    </w:p>
    <w:p>
      <w:pPr>
        <w:pStyle w:val="BodyText"/>
      </w:pPr>
      <w:r>
        <w:t xml:space="preserve">Minor TAC decreases for the past two seasons and increased recruitment</w:t>
      </w:r>
      <w:r>
        <w:t xml:space="preserve"> </w:t>
      </w:r>
      <w:r>
        <w:t xml:space="preserve">to the fishery have helped catch rates and fishable biomass estimates to</w:t>
      </w:r>
      <w:r>
        <w:t xml:space="preserve"> </w:t>
      </w:r>
      <w:r>
        <w:t xml:space="preserve">rebound. N-ENS has moved from the cautious zone in 2018 to the healthy</w:t>
      </w:r>
      <w:r>
        <w:t xml:space="preserve"> </w:t>
      </w:r>
      <w:r>
        <w:t xml:space="preserve">zone in 2019. Given stock status and incoming recruitment, catch levels</w:t>
      </w:r>
      <w:r>
        <w:t xml:space="preserve"> </w:t>
      </w:r>
      <w:r>
        <w:t xml:space="preserve">similar to those in 2017 and 2018 would help to maintain recent</w:t>
      </w:r>
      <w:r>
        <w:t xml:space="preserve"> </w:t>
      </w:r>
      <w:r>
        <w:t xml:space="preserve">exploitation levels.</w:t>
      </w:r>
    </w:p>
    <w:bookmarkEnd w:id="57"/>
    <w:bookmarkStart w:id="58" w:name="south-eastern-nova-scotia-s-ens"/>
    <w:p>
      <w:pPr>
        <w:pStyle w:val="Heading3"/>
      </w:pPr>
      <w:r>
        <w:t xml:space="preserve">South-Eastern Nova Scotia (S-ENS)</w:t>
      </w:r>
    </w:p>
    <w:p>
      <w:pPr>
        <w:pStyle w:val="FirstParagraph"/>
      </w:pPr>
      <w:r>
        <w:t xml:space="preserve">The long-term precautionary harvest strategies adopted by the S-ENS</w:t>
      </w:r>
      <w:r>
        <w:t xml:space="preserve"> </w:t>
      </w:r>
      <w:r>
        <w:t xml:space="preserve">fishery appear to have increased stability in commercial biomass levels.</w:t>
      </w:r>
      <w:r>
        <w:t xml:space="preserve"> </w:t>
      </w:r>
      <w:r>
        <w:t xml:space="preserve">This stability is an important consideration given the changing</w:t>
      </w:r>
      <w:r>
        <w:t xml:space="preserve"> </w:t>
      </w:r>
      <w:r>
        <w:t xml:space="preserve">ecosystems and the more volatile state of global Snow Crab populations.</w:t>
      </w:r>
      <w:r>
        <w:t xml:space="preserve"> </w:t>
      </w:r>
      <w:r>
        <w:t xml:space="preserve">This stock remains in the healthy zone.</w:t>
      </w:r>
    </w:p>
    <w:p>
      <w:pPr>
        <w:pStyle w:val="BodyText"/>
      </w:pPr>
      <w:r>
        <w:t xml:space="preserve">Substantial TAC reductions from 2016-2018 helped maintain stable fishery</w:t>
      </w:r>
      <w:r>
        <w:t xml:space="preserve"> </w:t>
      </w:r>
      <w:r>
        <w:t xml:space="preserve">performance (catch rates) in spite of reduced recruitment, increased</w:t>
      </w:r>
      <w:r>
        <w:t xml:space="preserve"> </w:t>
      </w:r>
      <w:r>
        <w:t xml:space="preserve">predation, and falling fishable biomass estimates throughout that time.</w:t>
      </w:r>
      <w:r>
        <w:t xml:space="preserve"> </w:t>
      </w:r>
      <w:r>
        <w:t xml:space="preserve">Increased recruitment to the fishery is likely for the upcoming season.</w:t>
      </w:r>
      <w:r>
        <w:t xml:space="preserve"> </w:t>
      </w:r>
      <w:r>
        <w:t xml:space="preserve">Exploitation rates derived from the fishery model have been declining in</w:t>
      </w:r>
      <w:r>
        <w:t xml:space="preserve"> </w:t>
      </w:r>
      <w:r>
        <w:t xml:space="preserve">recent years. An increase in catch levels would help to maintain recent</w:t>
      </w:r>
      <w:r>
        <w:t xml:space="preserve"> </w:t>
      </w:r>
      <w:r>
        <w:t xml:space="preserve">exploitation levels.</w:t>
      </w:r>
    </w:p>
    <w:bookmarkEnd w:id="58"/>
    <w:bookmarkStart w:id="59" w:name="x"/>
    <w:p>
      <w:pPr>
        <w:pStyle w:val="Heading3"/>
      </w:pPr>
      <w:r>
        <w:t xml:space="preserve">4X</w:t>
      </w:r>
    </w:p>
    <w:p>
      <w:pPr>
        <w:pStyle w:val="FirstParagraph"/>
      </w:pPr>
      <w:r>
        <w:t xml:space="preserve">CFA 4X is the southern-most extent of Snow Crab distribution in the</w:t>
      </w:r>
      <w:r>
        <w:t xml:space="preserve"> </w:t>
      </w:r>
      <w:r>
        <w:t xml:space="preserve">North Atlantic, existing in more</w:t>
      </w:r>
      <w:r>
        <w:t xml:space="preserve"> </w:t>
      </w:r>
      <w:r>
        <w:t xml:space="preserve">“</w:t>
      </w:r>
      <w:r>
        <w:t xml:space="preserve">marginal</w:t>
      </w:r>
      <w:r>
        <w:t xml:space="preserve">”</w:t>
      </w:r>
      <w:r>
        <w:t xml:space="preserve"> </w:t>
      </w:r>
      <w:r>
        <w:t xml:space="preserve">habitats relative to the</w:t>
      </w:r>
      <w:r>
        <w:t xml:space="preserve"> </w:t>
      </w:r>
      <w:r>
        <w:t xml:space="preserve">“</w:t>
      </w:r>
      <w:r>
        <w:t xml:space="preserve">prime</w:t>
      </w:r>
      <w:r>
        <w:t xml:space="preserve">”</w:t>
      </w:r>
      <w:r>
        <w:t xml:space="preserve"> </w:t>
      </w:r>
      <w:r>
        <w:t xml:space="preserve">areas of S-ENS and N-ENS. The Snow Crab survey catches do not</w:t>
      </w:r>
      <w:r>
        <w:t xml:space="preserve"> </w:t>
      </w:r>
      <w:r>
        <w:t xml:space="preserve">appear to represent the 4X Snow Crab population as effectively as the</w:t>
      </w:r>
      <w:r>
        <w:t xml:space="preserve"> </w:t>
      </w:r>
      <w:r>
        <w:t xml:space="preserve">other two areas. Additionally, Snow Crab behavior and distribution in 4X</w:t>
      </w:r>
      <w:r>
        <w:t xml:space="preserve"> </w:t>
      </w:r>
      <w:r>
        <w:t xml:space="preserve">is affected by an increased volatility of ecosystem pressures such as</w:t>
      </w:r>
      <w:r>
        <w:t xml:space="preserve"> </w:t>
      </w:r>
      <w:r>
        <w:t xml:space="preserve">water temperature, predation, and bycatch in other fisheries. Due to a</w:t>
      </w:r>
      <w:r>
        <w:t xml:space="preserve"> </w:t>
      </w:r>
      <w:r>
        <w:t xml:space="preserve">lack of coherence in inter-annual size-frequency distributions, the</w:t>
      </w:r>
      <w:r>
        <w:t xml:space="preserve"> </w:t>
      </w:r>
      <w:r>
        <w:t xml:space="preserve">current Harvest Control Rules and associated management practices</w:t>
      </w:r>
      <w:r>
        <w:t xml:space="preserve"> </w:t>
      </w:r>
      <w:r>
        <w:t xml:space="preserve">(ultimately based on survey results) for 4X should be revisited.</w:t>
      </w:r>
      <w:r>
        <w:t xml:space="preserve"> </w:t>
      </w:r>
      <w:r>
        <w:t xml:space="preserve">Alternate harvest strategies will be explored before the upcoming fall</w:t>
      </w:r>
      <w:r>
        <w:t xml:space="preserve"> </w:t>
      </w:r>
      <w:r>
        <w:t xml:space="preserve">season.</w:t>
      </w:r>
    </w:p>
    <w:bookmarkEnd w:id="59"/>
    <w:bookmarkEnd w:id="60"/>
    <w:bookmarkStart w:id="72" w:name="management-considerations"/>
    <w:p>
      <w:pPr>
        <w:pStyle w:val="Heading2"/>
      </w:pPr>
      <w:r>
        <w:t xml:space="preserve">MANAGEMENT CONSIDERATIONS</w:t>
      </w:r>
    </w:p>
    <w:bookmarkStart w:id="61" w:name="capture-of-immature-crab"/>
    <w:p>
      <w:pPr>
        <w:pStyle w:val="Heading3"/>
      </w:pPr>
      <w:r>
        <w:t xml:space="preserve">Capture of Immature Crab</w:t>
      </w:r>
    </w:p>
    <w:p>
      <w:pPr>
        <w:pStyle w:val="FirstParagraph"/>
      </w:pPr>
      <w:r>
        <w:t xml:space="preserve">The continuation of the prompt and careful return of immature</w:t>
      </w:r>
      <w:r>
        <w:t xml:space="preserve"> </w:t>
      </w:r>
      <w:r>
        <w:t xml:space="preserve">(small-claw, non-terminally moulted) crab to the water is an important</w:t>
      </w:r>
      <w:r>
        <w:t xml:space="preserve"> </w:t>
      </w:r>
      <w:r>
        <w:t xml:space="preserve">conservation measure that will enhance the mid-term (2-3 year)</w:t>
      </w:r>
      <w:r>
        <w:t xml:space="preserve"> </w:t>
      </w:r>
      <w:r>
        <w:t xml:space="preserve">sustainability of this fishery.</w:t>
      </w:r>
    </w:p>
    <w:bookmarkEnd w:id="61"/>
    <w:bookmarkStart w:id="71" w:name="precautionary-approach"/>
    <w:p>
      <w:pPr>
        <w:pStyle w:val="Heading3"/>
      </w:pPr>
      <w:r>
        <w:t xml:space="preserve">Precautionary Approach</w:t>
      </w:r>
    </w:p>
    <w:p>
      <w:pPr>
        <w:pStyle w:val="FirstParagraph"/>
      </w:pPr>
      <w:r>
        <w:t xml:space="preserve">Many existing measures and fishing practices in the Scotian Shelf Snow</w:t>
      </w:r>
      <w:r>
        <w:t xml:space="preserve"> </w:t>
      </w:r>
      <w:r>
        <w:t xml:space="preserve">Crab fishery are inherently precautionary:</w:t>
      </w:r>
    </w:p>
    <w:p>
      <w:pPr>
        <w:numPr>
          <w:ilvl w:val="0"/>
          <w:numId w:val="1002"/>
        </w:numPr>
      </w:pPr>
      <w:r>
        <w:t xml:space="preserve">No removal of female crab. Reproductive potential of spawning stock</w:t>
      </w:r>
      <w:r>
        <w:t xml:space="preserve"> </w:t>
      </w:r>
      <w:r>
        <w:t xml:space="preserve">biomass is not disrupted. Most removals of males occur after mating</w:t>
      </w:r>
      <w:r>
        <w:t xml:space="preserve"> </w:t>
      </w:r>
      <w:r>
        <w:t xml:space="preserve">and sub-legal mature crab (able to reproduce) are never removed.</w:t>
      </w:r>
    </w:p>
    <w:p>
      <w:pPr>
        <w:numPr>
          <w:ilvl w:val="0"/>
          <w:numId w:val="1002"/>
        </w:numPr>
      </w:pPr>
      <w:r>
        <w:t xml:space="preserve">Conservative exploitation strategies have generally been the norm,</w:t>
      </w:r>
      <w:r>
        <w:t xml:space="preserve"> </w:t>
      </w:r>
      <w:r>
        <w:t xml:space="preserve">especially in recent years.</w:t>
      </w:r>
    </w:p>
    <w:p>
      <w:pPr>
        <w:numPr>
          <w:ilvl w:val="0"/>
          <w:numId w:val="1002"/>
        </w:numPr>
      </w:pPr>
      <w:r>
        <w:t xml:space="preserve">Refugia from directed fishing pressures exist in MPAs, along the</w:t>
      </w:r>
      <w:r>
        <w:t xml:space="preserve"> </w:t>
      </w:r>
      <w:r>
        <w:t xml:space="preserve">continental slope, and much of the western inshore portion of</w:t>
      </w:r>
      <w:r>
        <w:t xml:space="preserve"> </w:t>
      </w:r>
      <w:r>
        <w:t xml:space="preserve">CFA 24.</w:t>
      </w:r>
    </w:p>
    <w:p>
      <w:pPr>
        <w:numPr>
          <w:ilvl w:val="0"/>
          <w:numId w:val="1002"/>
        </w:numPr>
      </w:pPr>
      <w:r>
        <w:t xml:space="preserve">Immature and soft-shelled (newly-moulted, easily damaged) Snow Crab</w:t>
      </w:r>
      <w:r>
        <w:t xml:space="preserve"> </w:t>
      </w:r>
      <w:r>
        <w:t xml:space="preserve">are not harvested, and handling mortality is minimized via spring</w:t>
      </w:r>
      <w:r>
        <w:t xml:space="preserve"> </w:t>
      </w:r>
      <w:r>
        <w:t xml:space="preserve">harvesting, voluntary area closures, and at-sea observer monitoring</w:t>
      </w:r>
      <w:r>
        <w:t xml:space="preserve"> </w:t>
      </w:r>
      <w:r>
        <w:t xml:space="preserve">of soft-shell incidence, helping to maximize the potential yield per</w:t>
      </w:r>
      <w:r>
        <w:t xml:space="preserve"> </w:t>
      </w:r>
      <w:r>
        <w:t xml:space="preserve">animal to the biomass.</w:t>
      </w:r>
    </w:p>
    <w:p>
      <w:pPr>
        <w:pStyle w:val="FirstParagraph"/>
      </w:pPr>
      <w:r>
        <w:t xml:space="preserve">Harvest control rules have been developed that link the biomass</w:t>
      </w:r>
      <w:r>
        <w:t xml:space="preserve"> </w:t>
      </w:r>
      <w:r>
        <w:t xml:space="preserve">reference points to reference exploitation ranges (DFO 2013; Figures 14</w:t>
      </w:r>
      <w:r>
        <w:t xml:space="preserve"> </w:t>
      </w:r>
      <w:r>
        <w:t xml:space="preserve">&amp; 15). The harvest strategies are further informed by secondary</w:t>
      </w:r>
      <w:r>
        <w:t xml:space="preserve"> </w:t>
      </w:r>
      <w:r>
        <w:t xml:space="preserve">indicators, which include expected recruitment, spawning stock biomass,</w:t>
      </w:r>
      <w:r>
        <w:t xml:space="preserve"> </w:t>
      </w:r>
      <w:r>
        <w:t xml:space="preserve">size and age structure of various stock components, sex ratios,</w:t>
      </w:r>
      <w:r>
        <w:t xml:space="preserve"> </w:t>
      </w:r>
      <w:r>
        <w:t xml:space="preserve">environmental variables, and fishery performance.</w:t>
      </w:r>
    </w:p>
    <w:p>
      <w:pPr>
        <w:pStyle w:val="CaptionedFigure"/>
      </w:pPr>
      <w:r>
        <w:drawing>
          <wp:inline>
            <wp:extent cx="4229801" cy="2829046"/>
            <wp:effectExtent b="0" l="0" r="0" t="0"/>
            <wp:docPr descr="Figure 14" title="" id="1" name="Picture"/>
            <a:graphic>
              <a:graphicData uri="http://schemas.openxmlformats.org/drawingml/2006/picture">
                <pic:pic>
                  <pic:nvPicPr>
                    <pic:cNvPr descr="media/harvest_control_rules.png" id="0" name="Picture"/>
                    <pic:cNvPicPr>
                      <a:picLocks noChangeArrowheads="1" noChangeAspect="1"/>
                    </pic:cNvPicPr>
                  </pic:nvPicPr>
                  <pic:blipFill>
                    <a:blip r:embed="rId62"/>
                    <a:stretch>
                      <a:fillRect/>
                    </a:stretch>
                  </pic:blipFill>
                  <pic:spPr bwMode="auto">
                    <a:xfrm>
                      <a:off x="0" y="0"/>
                      <a:ext cx="4229801" cy="2829046"/>
                    </a:xfrm>
                    <a:prstGeom prst="rect">
                      <a:avLst/>
                    </a:prstGeom>
                    <a:noFill/>
                    <a:ln w="9525">
                      <a:noFill/>
                      <a:headEnd/>
                      <a:tailEnd/>
                    </a:ln>
                  </pic:spPr>
                </pic:pic>
              </a:graphicData>
            </a:graphic>
          </wp:inline>
        </w:drawing>
      </w:r>
    </w:p>
    <w:p>
      <w:pPr>
        <w:pStyle w:val="ImageCaption"/>
      </w:pPr>
      <w:bookmarkStart w:id="63" w:name="fig1"/>
      <w:r>
        <w:t xml:space="preserve">Figure </w:t>
      </w:r>
      <w:fldSimple w:instr="SEQ Figure \* ARABIC ">
        <w:r>
          <w:t>1</w:t>
        </w:r>
      </w:fldSimple>
      <w:r>
        <w:t xml:space="preserve">:</w:t>
      </w:r>
      <w:r>
        <w:t xml:space="preserve"> </w:t>
      </w:r>
      <w:bookmarkEnd w:id="63"/>
      <w:r>
        <w:t xml:space="preserve">Figure 14</w:t>
      </w:r>
    </w:p>
    <w:p>
      <w:pPr>
        <w:pStyle w:val="BodyText"/>
      </w:pPr>
      <w:r>
        <w:t xml:space="preserve">Figure 14. Harvest control rules for the Scotian Shelf Snow Crab</w:t>
      </w:r>
      <w:r>
        <w:t xml:space="preserve"> </w:t>
      </w:r>
      <w:r>
        <w:t xml:space="preserve">fisheries.</w:t>
      </w:r>
    </w:p>
    <w:p>
      <w:pPr>
        <w:pStyle w:val="BodyText"/>
      </w:pPr>
      <w:r>
        <w:t xml:space="preserve">The operational reference points associated with the Scotian Shelf Snow</w:t>
      </w:r>
      <w:r>
        <w:t xml:space="preserve"> </w:t>
      </w:r>
      <w:r>
        <w:t xml:space="preserve">Crab fisheries are as follows:</w:t>
      </w:r>
    </w:p>
    <w:p>
      <w:pPr>
        <w:pStyle w:val="BodyText"/>
      </w:pPr>
      <w:r>
        <w:t xml:space="preserve">*</w:t>
      </w:r>
      <w:r>
        <w:t xml:space="preserve"> </w:t>
      </w:r>
      <w:r>
        <w:rPr>
          <w:bCs/>
          <w:b/>
        </w:rPr>
        <w:t xml:space="preserve">Lower Stock Reference (LSR):</w:t>
      </w:r>
      <w:r>
        <w:t xml:space="preserve"> </w:t>
      </w:r>
      <w:r>
        <w:t xml:space="preserve">25% of carrying capacity</w:t>
      </w:r>
    </w:p>
    <w:p>
      <w:pPr>
        <w:pStyle w:val="BodyText"/>
      </w:pPr>
      <w:r>
        <w:t xml:space="preserve">*</w:t>
      </w:r>
      <w:r>
        <w:t xml:space="preserve"> </w:t>
      </w:r>
      <w:r>
        <w:rPr>
          <w:bCs/>
          <w:b/>
        </w:rPr>
        <w:t xml:space="preserve">Upper Stock Reference (USR):</w:t>
      </w:r>
      <w:r>
        <w:t xml:space="preserve"> </w:t>
      </w:r>
      <w:r>
        <w:t xml:space="preserve">50% of carrying capacity.</w:t>
      </w:r>
    </w:p>
    <w:p>
      <w:pPr>
        <w:pStyle w:val="BodyText"/>
      </w:pPr>
      <w:r>
        <w:t xml:space="preserve">*</w:t>
      </w:r>
      <w:r>
        <w:t xml:space="preserve"> </w:t>
      </w:r>
      <w:r>
        <w:rPr>
          <w:bCs/>
          <w:b/>
        </w:rPr>
        <w:t xml:space="preserve">Removal Reference (RR):</w:t>
      </w:r>
      <w:r>
        <w:t xml:space="preserve"> </w:t>
      </w:r>
      <w:r>
        <w:t xml:space="preserve">not to exceed F</w:t>
      </w:r>
      <w:r>
        <w:rPr>
          <w:vertAlign w:val="subscript"/>
        </w:rPr>
        <w:t xml:space="preserve">MSY</w:t>
      </w:r>
      <w:r>
        <w:t xml:space="preserve"> </w:t>
      </w:r>
      <w:r>
        <w:t xml:space="preserve">(where F is the</w:t>
      </w:r>
      <w:r>
        <w:t xml:space="preserve"> </w:t>
      </w:r>
      <w:r>
        <w:t xml:space="preserve">fishing mortality of the legal sized mature male population and MSY is</w:t>
      </w:r>
      <w:r>
        <w:t xml:space="preserve"> </w:t>
      </w:r>
      <w:r>
        <w:t xml:space="preserve">the theoretical Maximum Sustainable Yield)</w:t>
      </w:r>
    </w:p>
    <w:p>
      <w:pPr>
        <w:pStyle w:val="BodyText"/>
      </w:pPr>
      <w:r>
        <w:t xml:space="preserve">*</w:t>
      </w:r>
      <w:r>
        <w:t xml:space="preserve"> </w:t>
      </w:r>
      <w:r>
        <w:rPr>
          <w:bCs/>
          <w:b/>
        </w:rPr>
        <w:t xml:space="preserve">Target Removal Reference (TRR):</w:t>
      </w:r>
      <w:r>
        <w:t xml:space="preserve"> </w:t>
      </w:r>
      <w:r>
        <w:t xml:space="preserve">20% of the fishable biomass</w:t>
      </w:r>
      <w:r>
        <w:t xml:space="preserve"> </w:t>
      </w:r>
      <w:r>
        <w:t xml:space="preserve">(F=0.22). Secondary, contextual indicators are used to alter harvest</w:t>
      </w:r>
      <w:r>
        <w:t xml:space="preserve"> </w:t>
      </w:r>
      <w:r>
        <w:t xml:space="preserve">rates between 10% and 30% of fishable biomass (FB; F=0.11 to F=0.36).</w:t>
      </w:r>
    </w:p>
    <w:p>
      <w:pPr>
        <w:pStyle w:val="BodyText"/>
      </w:pPr>
      <w:r>
        <w:t xml:space="preserve">The Harvest Control Rules are, therefore, as follows:</w:t>
      </w:r>
    </w:p>
    <w:p>
      <w:pPr>
        <w:numPr>
          <w:ilvl w:val="0"/>
          <w:numId w:val="1003"/>
        </w:numPr>
      </w:pPr>
      <w:r>
        <w:t xml:space="preserve">FB&gt;USR: target exploitation rate of 10% - 30%, based upon contextual</w:t>
      </w:r>
      <w:r>
        <w:t xml:space="preserve"> </w:t>
      </w:r>
      <w:r>
        <w:t xml:space="preserve">information provided by secondary indicators</w:t>
      </w:r>
    </w:p>
    <w:p>
      <w:pPr>
        <w:numPr>
          <w:ilvl w:val="0"/>
          <w:numId w:val="1003"/>
        </w:numPr>
      </w:pPr>
      <w:r>
        <w:t xml:space="preserve">LSR&lt;FB&lt;USR: target exploitation rate of 0% - 20%, based upon</w:t>
      </w:r>
      <w:r>
        <w:t xml:space="preserve"> </w:t>
      </w:r>
      <w:r>
        <w:t xml:space="preserve">contextual information provided by secondary indicators</w:t>
      </w:r>
    </w:p>
    <w:p>
      <w:pPr>
        <w:numPr>
          <w:ilvl w:val="0"/>
          <w:numId w:val="1003"/>
        </w:numPr>
      </w:pPr>
      <w:r>
        <w:t xml:space="preserve">FB&lt;LSR: fishery closure until recovery (at a minimum, until FB&gt;LSR)</w:t>
      </w:r>
    </w:p>
    <w:p>
      <w:pPr>
        <w:numPr>
          <w:ilvl w:val="0"/>
          <w:numId w:val="1000"/>
        </w:numPr>
      </w:pPr>
      <w:r>
        <w:t xml:space="preserve">Harvest control rule target exploitation ranges may need to be</w:t>
      </w:r>
      <w:r>
        <w:t xml:space="preserve"> </w:t>
      </w:r>
      <w:r>
        <w:t xml:space="preserve">re-examined in coming years with updated stock assessment approaches</w:t>
      </w:r>
      <w:r>
        <w:t xml:space="preserve"> </w:t>
      </w:r>
      <w:r>
        <w:t xml:space="preserve">and a long time-series of fishing mortality rates.</w:t>
      </w:r>
    </w:p>
    <w:p>
      <w:pPr>
        <w:pStyle w:val="FirstParagraph"/>
      </w:pPr>
      <w:r>
        <w:t xml:space="preserve">From the logistic model output, the current estimates of</w:t>
      </w:r>
      <w:r>
        <w:t xml:space="preserve"> </w:t>
      </w:r>
      <w:r>
        <w:t xml:space="preserve">“</w:t>
      </w:r>
      <w:r>
        <w:t xml:space="preserve">carrying</w:t>
      </w:r>
      <w:r>
        <w:t xml:space="preserve"> </w:t>
      </w:r>
      <w:r>
        <w:t xml:space="preserve">capacity</w:t>
      </w:r>
      <w:r>
        <w:t xml:space="preserve">”</w:t>
      </w:r>
      <w:r>
        <w:t xml:space="preserve"> </w:t>
      </w:r>
      <w:r>
        <w:t xml:space="preserve">for the fishable biomass of Snow Crab is estimated to be {and</w:t>
      </w:r>
      <w:r>
        <w:t xml:space="preserve"> </w:t>
      </w:r>
      <w:r>
        <w:t xml:space="preserve">95% CI}:</w:t>
      </w:r>
    </w:p>
    <w:p>
      <w:pPr>
        <w:numPr>
          <w:ilvl w:val="0"/>
          <w:numId w:val="1004"/>
        </w:numPr>
      </w:pPr>
      <w:r>
        <w:t xml:space="preserve">N-ENS: 6.77 {5.34, 8.52} kt</w:t>
      </w:r>
    </w:p>
    <w:p>
      <w:pPr>
        <w:numPr>
          <w:ilvl w:val="0"/>
          <w:numId w:val="1004"/>
        </w:numPr>
      </w:pPr>
      <w:r>
        <w:t xml:space="preserve">S-ENS: 76.3 {64.3, 91.3} kt</w:t>
      </w:r>
    </w:p>
    <w:p>
      <w:pPr>
        <w:numPr>
          <w:ilvl w:val="0"/>
          <w:numId w:val="1004"/>
        </w:numPr>
      </w:pPr>
      <w:r>
        <w:t xml:space="preserve">4X: 2.12 {1.57, 2.78} kt</w:t>
      </w:r>
    </w:p>
    <w:p>
      <w:pPr>
        <w:pStyle w:val="FirstParagraph"/>
      </w:pPr>
      <w:r>
        <w:t xml:space="preserve">The estimates of FMSY {and 95% CI} were:</w:t>
      </w:r>
    </w:p>
    <w:p>
      <w:pPr>
        <w:pStyle w:val="BodyText"/>
      </w:pPr>
      <w:r>
        <w:t xml:space="preserve">• N-ENS: 0.398 {0.248, 0.572}</w:t>
      </w:r>
    </w:p>
    <w:p>
      <w:pPr>
        <w:pStyle w:val="BodyText"/>
      </w:pPr>
      <w:r>
        <w:t xml:space="preserve">• S-ENS: 0.346 {0.224, 0.51}</w:t>
      </w:r>
    </w:p>
    <w:p>
      <w:pPr>
        <w:pStyle w:val="BodyText"/>
      </w:pPr>
      <w:r>
        <w:t xml:space="preserve">• 4X: 0.361 {0.2, 0.543}</w:t>
      </w:r>
    </w:p>
    <w:p>
      <w:pPr>
        <w:pStyle w:val="BodyText"/>
      </w:pPr>
      <w:r>
        <w:drawing>
          <wp:inline>
            <wp:extent cx="5943600" cy="5926810"/>
            <wp:effectExtent b="0" l="0" r="0" t="0"/>
            <wp:docPr descr="" title="" id="1" name="Picture"/>
            <a:graphic>
              <a:graphicData uri="http://schemas.openxmlformats.org/drawingml/2006/picture">
                <pic:pic>
                  <pic:nvPicPr>
                    <pic:cNvPr descr="media/harvest_control_rules_all_areas.png" id="0" name="Picture"/>
                    <pic:cNvPicPr>
                      <a:picLocks noChangeArrowheads="1" noChangeAspect="1"/>
                    </pic:cNvPicPr>
                  </pic:nvPicPr>
                  <pic:blipFill>
                    <a:blip r:embed="rId64"/>
                    <a:stretch>
                      <a:fillRect/>
                    </a:stretch>
                  </pic:blipFill>
                  <pic:spPr bwMode="auto">
                    <a:xfrm>
                      <a:off x="0" y="0"/>
                      <a:ext cx="5943600" cy="5926810"/>
                    </a:xfrm>
                    <a:prstGeom prst="rect">
                      <a:avLst/>
                    </a:prstGeom>
                    <a:noFill/>
                    <a:ln w="9525">
                      <a:noFill/>
                      <a:headEnd/>
                      <a:tailEnd/>
                    </a:ln>
                  </pic:spPr>
                </pic:pic>
              </a:graphicData>
            </a:graphic>
          </wp:inline>
        </w:drawing>
      </w:r>
    </w:p>
    <w:p>
      <w:pPr>
        <w:pStyle w:val="BodyText"/>
      </w:pPr>
      <w:r>
        <w:t xml:space="preserve">Figure 15. Time series of fishing mortality and fishable biomass for</w:t>
      </w:r>
      <w:r>
        <w:t xml:space="preserve"> </w:t>
      </w:r>
      <w:r>
        <w:t xml:space="preserve">N-ENS (top), S-ENS (middle), and 4X (bottom) as obtained from the</w:t>
      </w:r>
      <w:r>
        <w:t xml:space="preserve"> </w:t>
      </w:r>
      <w:r>
        <w:t xml:space="preserve">logistic population models. The large red dot indicates most recent</w:t>
      </w:r>
      <w:r>
        <w:t xml:space="preserve"> </w:t>
      </w:r>
      <w:r>
        <w:t xml:space="preserve">year.</w:t>
      </w:r>
    </w:p>
    <w:tbl>
      <w:tblPr>
        <w:tblStyle w:val="Table"/>
        <w:tblW w:type="pct" w:w="5000"/>
        <w:tblLook w:firstRow="0" w:lastRow="0" w:firstColumn="0" w:lastColumn="0" w:noHBand="0" w:noVBand="0" w:val="0000"/>
      </w:tblPr>
      <w:tblGrid>
        <w:gridCol w:w="7920"/>
      </w:tblGrid>
      <w:tr>
        <w:tc>
          <w:tcPr/>
          <w:p>
            <w:pPr>
              <w:pStyle w:val="Compact"/>
              <w:jc w:val="center"/>
            </w:pPr>
            <w:r>
              <w:drawing>
                <wp:inline>
                  <wp:extent cx="5943600" cy="4460172"/>
                  <wp:effectExtent b="0" l="0" r="0" t="0"/>
                  <wp:docPr descr="" title="" id="1" name="Picture"/>
                  <a:graphic>
                    <a:graphicData uri="http://schemas.openxmlformats.org/drawingml/2006/picture">
                      <pic:pic>
                        <pic:nvPicPr>
                          <pic:cNvPr descr="media/landings_map_2018.png" id="0" name="Picture"/>
                          <pic:cNvPicPr>
                            <a:picLocks noChangeArrowheads="1" noChangeAspect="1"/>
                          </pic:cNvPicPr>
                        </pic:nvPicPr>
                        <pic:blipFill>
                          <a:blip r:embed="rId65"/>
                          <a:stretch>
                            <a:fillRect/>
                          </a:stretch>
                        </pic:blipFill>
                        <pic:spPr bwMode="auto">
                          <a:xfrm>
                            <a:off x="0" y="0"/>
                            <a:ext cx="5943600" cy="4460172"/>
                          </a:xfrm>
                          <a:prstGeom prst="rect">
                            <a:avLst/>
                          </a:prstGeom>
                          <a:noFill/>
                          <a:ln w="9525">
                            <a:noFill/>
                            <a:headEnd/>
                            <a:tailEnd/>
                          </a:ln>
                        </pic:spPr>
                      </pic:pic>
                    </a:graphicData>
                  </a:graphic>
                </wp:inline>
              </w:drawing>
            </w:r>
            <w:r>
              <w:t xml:space="preserve">{width=</w:t>
            </w:r>
            <w:r>
              <w:t xml:space="preserve">“</w:t>
            </w:r>
            <w:r>
              <w:t xml:space="preserve">2.641790244969379in</w:t>
            </w:r>
            <w:r>
              <w:t xml:space="preserve">”</w:t>
            </w:r>
            <w:r>
              <w:t xml:space="preserve"> </w:t>
            </w:r>
            <w:r>
              <w:drawing>
                <wp:inline>
                  <wp:extent cx="5943600" cy="4440620"/>
                  <wp:effectExtent b="0" l="0" r="0" t="0"/>
                  <wp:docPr descr="" title="" id="1" name="Picture"/>
                  <a:graphic>
                    <a:graphicData uri="http://schemas.openxmlformats.org/drawingml/2006/picture">
                      <pic:pic>
                        <pic:nvPicPr>
                          <pic:cNvPr descr="media/landings_map_2019.png" id="0" name="Picture"/>
                          <pic:cNvPicPr>
                            <a:picLocks noChangeArrowheads="1" noChangeAspect="1"/>
                          </pic:cNvPicPr>
                        </pic:nvPicPr>
                        <pic:blipFill>
                          <a:blip r:embed="rId66"/>
                          <a:stretch>
                            <a:fillRect/>
                          </a:stretch>
                        </pic:blipFill>
                        <pic:spPr bwMode="auto">
                          <a:xfrm>
                            <a:off x="0" y="0"/>
                            <a:ext cx="5943600" cy="4440620"/>
                          </a:xfrm>
                          <a:prstGeom prst="rect">
                            <a:avLst/>
                          </a:prstGeom>
                          <a:noFill/>
                          <a:ln w="9525">
                            <a:noFill/>
                            <a:headEnd/>
                            <a:tailEnd/>
                          </a:ln>
                        </pic:spPr>
                      </pic:pic>
                    </a:graphicData>
                  </a:graphic>
                </wp:inline>
              </w:drawing>
            </w:r>
            <w:r>
              <w:t xml:space="preserve"> </w:t>
            </w:r>
            <w:r>
              <w:t xml:space="preserve">height=</w:t>
            </w:r>
            <w:r>
              <w:t xml:space="preserve">“</w:t>
            </w:r>
            <w:r>
              <w:t xml:space="preserve">1.9826159230096239in</w:t>
            </w:r>
            <w:r>
              <w:t xml:space="preserve">”</w:t>
            </w:r>
            <w:r>
              <w:t xml:space="preserve">}</w:t>
            </w:r>
          </w:p>
        </w:tc>
      </w:tr>
    </w:tbl>
    <w:p>
      <w:r>
        <w:pict>
          <v:rect style="width:0;height:1.5pt" o:hralign="center" o:hrstd="t" o:hr="t"/>
        </w:pict>
      </w:r>
    </w:p>
    <w:p>
      <w:pPr>
        <w:pStyle w:val="FirstParagraph"/>
      </w:pPr>
      <w:r>
        <w:t xml:space="preserve">Map 1. Snow Crab landings (tons/10 km</w:t>
      </w:r>
      <w:r>
        <w:rPr>
          <w:vertAlign w:val="superscript"/>
        </w:rPr>
        <w:t xml:space="preserve">2</w:t>
      </w:r>
      <w:r>
        <w:t xml:space="preserve"> </w:t>
      </w:r>
      <w:r>
        <w:t xml:space="preserve">grid) from fisheries logbook</w:t>
      </w:r>
      <w:r>
        <w:t xml:space="preserve"> </w:t>
      </w:r>
      <w:r>
        <w:t xml:space="preserve">data for 2018 and 2019. For 4X, year refers to the starting year.</w:t>
      </w:r>
      <w:r>
        <w:t xml:space="preserve"> </w:t>
      </w:r>
      <w:r>
        <w:t xml:space="preserve">Original figure in colour.</w:t>
      </w:r>
    </w:p>
    <w:tbl>
      <w:tblPr>
        <w:tblStyle w:val="Table"/>
        <w:tblW w:type="pct" w:w="5000"/>
        <w:tblLook w:firstRow="0" w:lastRow="0" w:firstColumn="0" w:lastColumn="0" w:noHBand="0" w:noVBand="0" w:val="0000"/>
      </w:tblPr>
      <w:tblGrid>
        <w:gridCol w:w="7920"/>
      </w:tblGrid>
      <w:tr>
        <w:tc>
          <w:tcPr/>
          <w:p>
            <w:pPr>
              <w:pStyle w:val="Compact"/>
              <w:jc w:val="center"/>
            </w:pPr>
            <w:r>
              <w:drawing>
                <wp:inline>
                  <wp:extent cx="5943600" cy="4464505"/>
                  <wp:effectExtent b="0" l="0" r="0" t="0"/>
                  <wp:docPr descr="" title="" id="1" name="Picture"/>
                  <a:graphic>
                    <a:graphicData uri="http://schemas.openxmlformats.org/drawingml/2006/picture">
                      <pic:pic>
                        <pic:nvPicPr>
                          <pic:cNvPr descr="media/cpue_map_2018.png" id="0" name="Picture"/>
                          <pic:cNvPicPr>
                            <a:picLocks noChangeArrowheads="1" noChangeAspect="1"/>
                          </pic:cNvPicPr>
                        </pic:nvPicPr>
                        <pic:blipFill>
                          <a:blip r:embed="rId67"/>
                          <a:stretch>
                            <a:fillRect/>
                          </a:stretch>
                        </pic:blipFill>
                        <pic:spPr bwMode="auto">
                          <a:xfrm>
                            <a:off x="0" y="0"/>
                            <a:ext cx="5943600" cy="4464505"/>
                          </a:xfrm>
                          <a:prstGeom prst="rect">
                            <a:avLst/>
                          </a:prstGeom>
                          <a:noFill/>
                          <a:ln w="9525">
                            <a:noFill/>
                            <a:headEnd/>
                            <a:tailEnd/>
                          </a:ln>
                        </pic:spPr>
                      </pic:pic>
                    </a:graphicData>
                  </a:graphic>
                </wp:inline>
              </w:drawing>
            </w:r>
            <w:r>
              <w:t xml:space="preserve">{width=</w:t>
            </w:r>
            <w:r>
              <w:t xml:space="preserve">“</w:t>
            </w:r>
            <w:r>
              <w:t xml:space="preserve">2.6791043307086615in</w:t>
            </w:r>
            <w:r>
              <w:t xml:space="preserve">”</w:t>
            </w:r>
            <w:r>
              <w:t xml:space="preserve"> </w:t>
            </w:r>
            <w:r>
              <w:drawing>
                <wp:inline>
                  <wp:extent cx="2511188" cy="1838508"/>
                  <wp:effectExtent b="0" l="0" r="0" t="0"/>
                  <wp:docPr descr="" title="" id="1" name="Picture"/>
                  <a:graphic>
                    <a:graphicData uri="http://schemas.openxmlformats.org/drawingml/2006/picture">
                      <pic:pic>
                        <pic:nvPicPr>
                          <pic:cNvPr descr="media/cpue_map_2019.png" id="0" name="Picture"/>
                          <pic:cNvPicPr>
                            <a:picLocks noChangeArrowheads="1" noChangeAspect="1"/>
                          </pic:cNvPicPr>
                        </pic:nvPicPr>
                        <pic:blipFill>
                          <a:blip r:embed="rId68"/>
                          <a:stretch>
                            <a:fillRect/>
                          </a:stretch>
                        </pic:blipFill>
                        <pic:spPr bwMode="auto">
                          <a:xfrm>
                            <a:off x="0" y="0"/>
                            <a:ext cx="2511188" cy="1838508"/>
                          </a:xfrm>
                          <a:prstGeom prst="rect">
                            <a:avLst/>
                          </a:prstGeom>
                          <a:noFill/>
                          <a:ln w="9525">
                            <a:noFill/>
                            <a:headEnd/>
                            <a:tailEnd/>
                          </a:ln>
                        </pic:spPr>
                      </pic:pic>
                    </a:graphicData>
                  </a:graphic>
                </wp:inline>
              </w:drawing>
            </w:r>
            <w:r>
              <w:t xml:space="preserve"> </w:t>
            </w:r>
            <w:r>
              <w:t xml:space="preserve">height=</w:t>
            </w:r>
            <w:r>
              <w:t xml:space="preserve">“</w:t>
            </w:r>
            <w:r>
              <w:t xml:space="preserve">2.053974190726159in</w:t>
            </w:r>
            <w:r>
              <w:t xml:space="preserve">”</w:t>
            </w:r>
            <w:r>
              <w:t xml:space="preserve">}</w:t>
            </w:r>
          </w:p>
        </w:tc>
      </w:tr>
    </w:tbl>
    <w:p>
      <w:r>
        <w:pict>
          <v:rect style="width:0;height:1.5pt" o:hralign="center" o:hrstd="t" o:hr="t"/>
        </w:pict>
      </w:r>
    </w:p>
    <w:p>
      <w:pPr>
        <w:pStyle w:val="FirstParagraph"/>
      </w:pPr>
      <w:r>
        <w:t xml:space="preserve">Map 2. Catch rates (kg/trap haul) of Snow Crab on the Scotian Shelf in</w:t>
      </w:r>
      <w:r>
        <w:t xml:space="preserve"> </w:t>
      </w:r>
      <w:r>
        <w:t xml:space="preserve">2018 and 2019. Original figure in colour.</w:t>
      </w:r>
    </w:p>
    <w:tbl>
      <w:tblPr>
        <w:tblStyle w:val="Table"/>
        <w:tblW w:type="pct" w:w="5000"/>
        <w:tblLook w:firstRow="1" w:lastRow="0" w:firstColumn="0" w:lastColumn="0" w:noHBand="0" w:noVBand="0" w:val="0020"/>
      </w:tblPr>
      <w:tblGrid>
        <w:gridCol w:w="3850"/>
        <w:gridCol w:w="4069"/>
      </w:tblGrid>
      <w:tr>
        <w:trPr>
          <w:tblHeader w:val="true"/>
        </w:trPr>
        <w:tc>
          <w:tcPr/>
          <w:p>
            <w:pPr>
              <w:pStyle w:val="Compact"/>
              <w:jc w:val="center"/>
            </w:pPr>
            <w:r>
              <w:drawing>
                <wp:inline>
                  <wp:extent cx="5943600" cy="4468389"/>
                  <wp:effectExtent b="0" l="0" r="0" t="0"/>
                  <wp:docPr descr="" title="" id="1" name="Picture"/>
                  <a:graphic>
                    <a:graphicData uri="http://schemas.openxmlformats.org/drawingml/2006/picture">
                      <pic:pic>
                        <pic:nvPicPr>
                          <pic:cNvPr descr="media/biomass_map_2019.png" id="0" name="Picture"/>
                          <pic:cNvPicPr>
                            <a:picLocks noChangeArrowheads="1" noChangeAspect="1"/>
                          </pic:cNvPicPr>
                        </pic:nvPicPr>
                        <pic:blipFill>
                          <a:blip r:embed="rId69"/>
                          <a:stretch>
                            <a:fillRect/>
                          </a:stretch>
                        </pic:blipFill>
                        <pic:spPr bwMode="auto">
                          <a:xfrm>
                            <a:off x="0" y="0"/>
                            <a:ext cx="5943600" cy="4468389"/>
                          </a:xfrm>
                          <a:prstGeom prst="rect">
                            <a:avLst/>
                          </a:prstGeom>
                          <a:noFill/>
                          <a:ln w="9525">
                            <a:noFill/>
                            <a:headEnd/>
                            <a:tailEnd/>
                          </a:ln>
                        </pic:spPr>
                      </pic:pic>
                    </a:graphicData>
                  </a:graphic>
                </wp:inline>
              </w:drawing>
            </w:r>
          </w:p>
        </w:tc>
        <w:tc>
          <w:tcPr/>
          <w:p>
            <w:pPr>
              <w:pStyle w:val="Compact"/>
              <w:jc w:val="right"/>
            </w:pPr>
            <w:r>
              <w:drawing>
                <wp:inline>
                  <wp:extent cx="5943600" cy="4472033"/>
                  <wp:effectExtent b="0" l="0" r="0" t="0"/>
                  <wp:docPr descr="" title="" id="1" name="Picture"/>
                  <a:graphic>
                    <a:graphicData uri="http://schemas.openxmlformats.org/drawingml/2006/picture">
                      <pic:pic>
                        <pic:nvPicPr>
                          <pic:cNvPr descr="media/sexratio_mature_map_2019.png" id="0" name="Picture"/>
                          <pic:cNvPicPr>
                            <a:picLocks noChangeArrowheads="1" noChangeAspect="1"/>
                          </pic:cNvPicPr>
                        </pic:nvPicPr>
                        <pic:blipFill>
                          <a:blip r:embed="rId70"/>
                          <a:stretch>
                            <a:fillRect/>
                          </a:stretch>
                        </pic:blipFill>
                        <pic:spPr bwMode="auto">
                          <a:xfrm>
                            <a:off x="0" y="0"/>
                            <a:ext cx="5943600" cy="4472033"/>
                          </a:xfrm>
                          <a:prstGeom prst="rect">
                            <a:avLst/>
                          </a:prstGeom>
                          <a:noFill/>
                          <a:ln w="9525">
                            <a:noFill/>
                            <a:headEnd/>
                            <a:tailEnd/>
                          </a:ln>
                        </pic:spPr>
                      </pic:pic>
                    </a:graphicData>
                  </a:graphic>
                </wp:inline>
              </w:drawing>
            </w:r>
          </w:p>
        </w:tc>
      </w:tr>
      <w:tr>
        <w:tc>
          <w:tcPr/>
          <w:p>
            <w:pPr>
              <w:pStyle w:val="Compact"/>
              <w:jc w:val="center"/>
            </w:pPr>
            <w:r>
              <w:t xml:space="preserve">Map 3. Fishable biomass densities</w:t>
            </w:r>
            <w:r>
              <w:t xml:space="preserve"> </w:t>
            </w:r>
            <w:r>
              <w:t xml:space="preserve">(t/km</w:t>
            </w:r>
            <w:r>
              <w:rPr>
                <w:vertAlign w:val="superscript"/>
              </w:rPr>
              <w:t xml:space="preserve">2</w:t>
            </w:r>
            <w:r>
              <w:t xml:space="preserve">) from the Snow Crab</w:t>
            </w:r>
            <w:r>
              <w:t xml:space="preserve"> </w:t>
            </w:r>
            <w:r>
              <w:t xml:space="preserve">survey. Original figure in colour</w:t>
            </w:r>
          </w:p>
        </w:tc>
        <w:tc>
          <w:tcPr/>
          <w:p>
            <w:pPr>
              <w:pStyle w:val="Compact"/>
              <w:jc w:val="right"/>
            </w:pPr>
            <w:r>
              <w:t xml:space="preserve">Map 4. Proportion of females in the</w:t>
            </w:r>
            <w:r>
              <w:t xml:space="preserve"> </w:t>
            </w:r>
            <w:r>
              <w:t xml:space="preserve">mature population. Note the</w:t>
            </w:r>
            <w:r>
              <w:t xml:space="preserve"> </w:t>
            </w:r>
            <w:r>
              <w:t xml:space="preserve">. heterogeneous distribution of sexes</w:t>
            </w:r>
            <w:r>
              <w:t xml:space="preserve"> </w:t>
            </w:r>
            <w:r>
              <w:t xml:space="preserve">in all areas. Original figure in</w:t>
            </w:r>
            <w:r>
              <w:t xml:space="preserve"> </w:t>
            </w:r>
            <w:r>
              <w:t xml:space="preserve">colour.</w:t>
            </w:r>
          </w:p>
        </w:tc>
      </w:tr>
    </w:tbl>
    <w:bookmarkEnd w:id="71"/>
    <w:bookmarkEnd w:id="72"/>
    <w:bookmarkStart w:id="73" w:name="list-of-meeting-participants"/>
    <w:p>
      <w:pPr>
        <w:pStyle w:val="Heading2"/>
      </w:pPr>
      <w:r>
        <w:t xml:space="preserve">LIST OF MEETING PARTICIPANTS</w:t>
      </w:r>
    </w:p>
    <w:bookmarkEnd w:id="73"/>
    <w:bookmarkStart w:id="74" w:name="section-1"/>
    <w:p>
      <w:pPr>
        <w:pStyle w:val="Heading2"/>
      </w:pPr>
    </w:p>
    <w:bookmarkEnd w:id="74"/>
    <w:bookmarkStart w:id="78" w:name="sources-of-information"/>
    <w:p>
      <w:pPr>
        <w:pStyle w:val="Heading2"/>
      </w:pPr>
      <w:r>
        <w:t xml:space="preserve">SOURCES OF INFORMATION</w:t>
      </w:r>
    </w:p>
    <w:p>
      <w:pPr>
        <w:pStyle w:val="FirstParagraph"/>
      </w:pPr>
      <w:r>
        <w:t xml:space="preserve">This Science Advisory Report is from the February 27, 2020, Assessment</w:t>
      </w:r>
      <w:r>
        <w:t xml:space="preserve"> </w:t>
      </w:r>
      <w:r>
        <w:t xml:space="preserve">of Scotian Shelf Snow Crab. Additional publications from this process</w:t>
      </w:r>
      <w:r>
        <w:t xml:space="preserve"> </w:t>
      </w:r>
      <w:r>
        <w:t xml:space="preserve">will be posted on the</w:t>
      </w:r>
      <w:r>
        <w:t xml:space="preserve"> </w:t>
      </w:r>
      <w:hyperlink r:id="rId75">
        <w:r>
          <w:rPr>
            <w:rStyle w:val="Hyperlink"/>
          </w:rPr>
          <w:t xml:space="preserve">Fisheries and Oceans Canada (DFO) Science</w:t>
        </w:r>
        <w:r>
          <w:rPr>
            <w:rStyle w:val="Hyperlink"/>
          </w:rPr>
          <w:t xml:space="preserve"> </w:t>
        </w:r>
        <w:r>
          <w:rPr>
            <w:rStyle w:val="Hyperlink"/>
          </w:rPr>
          <w:t xml:space="preserve">Advisory</w:t>
        </w:r>
        <w:r>
          <w:rPr>
            <w:rStyle w:val="Hyperlink"/>
          </w:rPr>
          <w:t xml:space="preserve"> </w:t>
        </w:r>
        <w:r>
          <w:rPr>
            <w:rStyle w:val="Hyperlink"/>
          </w:rPr>
          <w:t xml:space="preserve">Schedule</w:t>
        </w:r>
      </w:hyperlink>
      <w:r>
        <w:t xml:space="preserve"> </w:t>
      </w:r>
      <w:r>
        <w:t xml:space="preserve">as they become available.</w:t>
      </w:r>
    </w:p>
    <w:p>
      <w:pPr>
        <w:pStyle w:val="BodyText"/>
      </w:pPr>
      <w:r>
        <w:t xml:space="preserve">Boudreau, M., S.C. Courtenay, and K. Lee. 2009. Proceedings of a</w:t>
      </w:r>
      <w:r>
        <w:t xml:space="preserve"> </w:t>
      </w:r>
      <w:r>
        <w:t xml:space="preserve">Workshop Held 23 January 2007 at the Gulf Fisheries Centre; Potential</w:t>
      </w:r>
      <w:r>
        <w:t xml:space="preserve"> </w:t>
      </w:r>
      <w:r>
        <w:t xml:space="preserve">Impacts of Seismic Energy on Snow Crab: An Update to the September 2004</w:t>
      </w:r>
      <w:r>
        <w:t xml:space="preserve"> </w:t>
      </w:r>
      <w:r>
        <w:t xml:space="preserve">Review. Can. Tech. Rep. Fish. Aquat. Sci. 2836: vii+31 p.</w:t>
      </w:r>
    </w:p>
    <w:p>
      <w:pPr>
        <w:pStyle w:val="BodyText"/>
      </w:pPr>
      <w:r>
        <w:t xml:space="preserve">Canada Gazette. 2016. St. Anns Bank Marine Protected Area Regulations.</w:t>
      </w:r>
      <w:r>
        <w:t xml:space="preserve"> </w:t>
      </w:r>
      <w:r>
        <w:t xml:space="preserve">Canada Gazette, Part I, Vol 150, Issue 51: 4143-4149.</w:t>
      </w:r>
    </w:p>
    <w:p>
      <w:pPr>
        <w:pStyle w:val="BodyText"/>
      </w:pPr>
      <w:r>
        <w:t xml:space="preserve">Choi, J.S. 2020. A Framework for the assessment of Snow Crab</w:t>
      </w:r>
      <w:r>
        <w:t xml:space="preserve"> </w:t>
      </w:r>
      <w:r>
        <w:t xml:space="preserve">(</w:t>
      </w:r>
      <w:r>
        <w:rPr>
          <w:iCs/>
          <w:i/>
        </w:rPr>
        <w:t xml:space="preserve">Chioneocete opilio</w:t>
      </w:r>
      <w:r>
        <w:t xml:space="preserve">) in Maritimes Region (NAFO Div 4VWX) . DFO Can.</w:t>
      </w:r>
      <w:r>
        <w:t xml:space="preserve"> </w:t>
      </w:r>
      <w:r>
        <w:t xml:space="preserve">Sci. Advis. Sec. Res. Doc. 2020/nnn. v + xxx p.</w:t>
      </w:r>
    </w:p>
    <w:p>
      <w:pPr>
        <w:pStyle w:val="BodyText"/>
      </w:pPr>
      <w:r>
        <w:t xml:space="preserve">CNSOPB (Canada-Nova Scotia Offshore Petroleum Board). 2019.</w:t>
      </w:r>
      <w:r>
        <w:t xml:space="preserve"> </w:t>
      </w:r>
      <w:hyperlink r:id="rId76">
        <w:r>
          <w:rPr>
            <w:rStyle w:val="Hyperlink"/>
          </w:rPr>
          <w:t xml:space="preserve">Lands</w:t>
        </w:r>
        <w:r>
          <w:rPr>
            <w:rStyle w:val="Hyperlink"/>
          </w:rPr>
          <w:t xml:space="preserve"> </w:t>
        </w:r>
        <w:r>
          <w:rPr>
            <w:rStyle w:val="Hyperlink"/>
          </w:rPr>
          <w:t xml:space="preserve">Management: Call for Bids Forecast Areas</w:t>
        </w:r>
        <w:r>
          <w:rPr>
            <w:rStyle w:val="Hyperlink"/>
          </w:rPr>
          <w:t xml:space="preserve"> </w:t>
        </w:r>
        <w:r>
          <w:rPr>
            <w:rStyle w:val="Hyperlink"/>
          </w:rPr>
          <w:t xml:space="preserve">(2019–2021)</w:t>
        </w:r>
      </w:hyperlink>
      <w:r>
        <w:t xml:space="preserve">.</w:t>
      </w:r>
    </w:p>
    <w:p>
      <w:pPr>
        <w:pStyle w:val="BodyText"/>
      </w:pPr>
      <w:r>
        <w:t xml:space="preserve">Courtenay, S.C., M. Boudreau, and K. Lee. (editors). 2009. Potential</w:t>
      </w:r>
      <w:r>
        <w:t xml:space="preserve"> </w:t>
      </w:r>
      <w:r>
        <w:t xml:space="preserve">Impacts of Seismic Energy on Snow Crab: An Update to the September 2004</w:t>
      </w:r>
      <w:r>
        <w:t xml:space="preserve"> </w:t>
      </w:r>
      <w:r>
        <w:t xml:space="preserve">Peer Review. Environmental Studies Research Funds Report No. 178.</w:t>
      </w:r>
      <w:r>
        <w:t xml:space="preserve"> </w:t>
      </w:r>
      <w:r>
        <w:t xml:space="preserve">Moncton, 181 p.</w:t>
      </w:r>
    </w:p>
    <w:p>
      <w:pPr>
        <w:pStyle w:val="BodyText"/>
      </w:pPr>
      <w:r>
        <w:t xml:space="preserve">DFO. 2013.</w:t>
      </w:r>
      <w:r>
        <w:t xml:space="preserve"> </w:t>
      </w:r>
      <w:hyperlink r:id="rId77">
        <w:r>
          <w:rPr>
            <w:rStyle w:val="Hyperlink"/>
          </w:rPr>
          <w:t xml:space="preserve">Integrated Fisheries Management Plan for Eastern Nova Scotia</w:t>
        </w:r>
        <w:r>
          <w:rPr>
            <w:rStyle w:val="Hyperlink"/>
          </w:rPr>
          <w:t xml:space="preserve"> </w:t>
        </w:r>
        <w:r>
          <w:rPr>
            <w:rStyle w:val="Hyperlink"/>
          </w:rPr>
          <w:t xml:space="preserve">and 4X Snow Crab (</w:t>
        </w:r>
        <w:r>
          <w:rPr>
            <w:rStyle w:val="Hyperlink"/>
            <w:iCs/>
            <w:i/>
          </w:rPr>
          <w:t xml:space="preserve">Chionoecetes</w:t>
        </w:r>
        <w:r>
          <w:rPr>
            <w:rStyle w:val="Hyperlink"/>
            <w:iCs/>
            <w:i/>
          </w:rPr>
          <w:t xml:space="preserve"> </w:t>
        </w:r>
        <w:r>
          <w:rPr>
            <w:rStyle w:val="Hyperlink"/>
            <w:iCs/>
            <w:i/>
          </w:rPr>
          <w:t xml:space="preserve">Opillio</w:t>
        </w:r>
        <w:r>
          <w:rPr>
            <w:rStyle w:val="Hyperlink"/>
          </w:rPr>
          <w:t xml:space="preserve">)</w:t>
        </w:r>
      </w:hyperlink>
      <w:r>
        <w:t xml:space="preserve">.</w:t>
      </w:r>
    </w:p>
    <w:p>
      <w:pPr>
        <w:pStyle w:val="BodyText"/>
      </w:pPr>
      <w:r>
        <w:t xml:space="preserve">DFO. 2018. Stock Status Update of Atlantic Halibut (Hippoglossus</w:t>
      </w:r>
      <w:r>
        <w:t xml:space="preserve"> </w:t>
      </w:r>
      <w:r>
        <w:t xml:space="preserve">hippoglossus) on the Scotian Shelf and Southern Grand Banks in NAFO</w:t>
      </w:r>
      <w:r>
        <w:t xml:space="preserve"> </w:t>
      </w:r>
      <w:r>
        <w:t xml:space="preserve">Divisions 3NOPs4VWX5Zc. DFO Can. Sci. Advis. Sec. Sci. Resp. 2018/022.</w:t>
      </w:r>
    </w:p>
    <w:p>
      <w:pPr>
        <w:pStyle w:val="BodyText"/>
      </w:pPr>
      <w:r>
        <w:t xml:space="preserve">Zisserson, B.M., Cameron, B.J., Glass, A.C. and Choi, J.S. 2020.</w:t>
      </w:r>
      <w:r>
        <w:t xml:space="preserve"> </w:t>
      </w:r>
      <w:r>
        <w:t xml:space="preserve">Assessment of Scotian Shelf Snow Crab in 2019. DFO Can. Sci. Advis. Sec.</w:t>
      </w:r>
      <w:r>
        <w:t xml:space="preserve"> </w:t>
      </w:r>
      <w:r>
        <w:t xml:space="preserve">Res. Doc. 2020/nnn. v + xxx p.</w:t>
      </w:r>
    </w:p>
    <w:bookmarkEnd w:id="78"/>
    <w:bookmarkStart w:id="82" w:name="this-report-is-available-from-the"/>
    <w:p>
      <w:pPr>
        <w:pStyle w:val="Heading2"/>
      </w:pPr>
      <w:r>
        <w:t xml:space="preserve">THIS REPORT IS AVAILABLE FROM THE:</w:t>
      </w:r>
    </w:p>
    <w:p>
      <w:pPr>
        <w:pStyle w:val="FirstParagraph"/>
      </w:pPr>
      <w:r>
        <w:t xml:space="preserve">Center for Science Advice (CSA)</w:t>
      </w:r>
      <w:r>
        <w:br/>
      </w:r>
      <w:r>
        <w:t xml:space="preserve">Maritimes Region</w:t>
      </w:r>
      <w:r>
        <w:br/>
      </w:r>
      <w:r>
        <w:t xml:space="preserve">Fisheries and Oceans Canada</w:t>
      </w:r>
      <w:r>
        <w:br/>
      </w:r>
      <w:r>
        <w:t xml:space="preserve">Bedford Institute of Oceanography</w:t>
      </w:r>
      <w:r>
        <w:br/>
      </w:r>
      <w:r>
        <w:t xml:space="preserve">1 Challenger Drive, PO Box 1006</w:t>
      </w:r>
      <w:r>
        <w:br/>
      </w:r>
      <w:r>
        <w:t xml:space="preserve">Dartmouth, Nova Scotia B2Y 4A2</w:t>
      </w:r>
    </w:p>
    <w:p>
      <w:pPr>
        <w:pStyle w:val="BodyText"/>
      </w:pPr>
      <w:r>
        <w:t xml:space="preserve">Telephone: 902-426-7070</w:t>
      </w:r>
      <w:r>
        <w:br/>
      </w:r>
      <w:r>
        <w:t xml:space="preserve">E-Mail:</w:t>
      </w:r>
      <w:r>
        <w:t xml:space="preserve"> </w:t>
      </w:r>
      <w:hyperlink r:id="rId79">
        <w:r>
          <w:rPr>
            <w:rStyle w:val="Hyperlink"/>
          </w:rPr>
          <w:t xml:space="preserve">MaritimesRAP.XMAR@dfo-mpo.gc.ca</w:t>
        </w:r>
      </w:hyperlink>
      <w:r>
        <w:br/>
      </w:r>
      <w:r>
        <w:t xml:space="preserve">Internet address:</w:t>
      </w:r>
    </w:p>
    <w:p>
      <w:pPr>
        <w:pStyle w:val="BodyText"/>
      </w:pPr>
      <w:r>
        <w:t xml:space="preserve">www.dfo-mpo.gc.ca/csas-sccs/ISSN 1919-5087</w:t>
      </w:r>
      <w:r>
        <w:br/>
      </w:r>
      <w:r>
        <w:t xml:space="preserve">© Her Majesty the Queen in Right of Canada, 2020</w:t>
      </w:r>
    </w:p>
    <w:p>
      <w:pPr>
        <w:pStyle w:val="CaptionedFigure"/>
      </w:pPr>
      <w:r>
        <w:drawing>
          <wp:inline>
            <wp:extent cx="476250" cy="476250"/>
            <wp:effectExtent b="0" l="0" r="0" t="0"/>
            <wp:docPr descr="please recycle" title="" id="1" name="Picture"/>
            <a:graphic>
              <a:graphicData uri="http://schemas.openxmlformats.org/drawingml/2006/picture">
                <pic:pic>
                  <pic:nvPicPr>
                    <pic:cNvPr descr="media/recycle.png" id="0" name="Picture"/>
                    <pic:cNvPicPr>
                      <a:picLocks noChangeArrowheads="1" noChangeAspect="1"/>
                    </pic:cNvPicPr>
                  </pic:nvPicPr>
                  <pic:blipFill>
                    <a:blip r:embed="rId80"/>
                    <a:stretch>
                      <a:fillRect/>
                    </a:stretch>
                  </pic:blipFill>
                  <pic:spPr bwMode="auto">
                    <a:xfrm>
                      <a:off x="0" y="0"/>
                      <a:ext cx="476250" cy="476250"/>
                    </a:xfrm>
                    <a:prstGeom prst="rect">
                      <a:avLst/>
                    </a:prstGeom>
                    <a:noFill/>
                    <a:ln w="9525">
                      <a:noFill/>
                      <a:headEnd/>
                      <a:tailEnd/>
                    </a:ln>
                  </pic:spPr>
                </pic:pic>
              </a:graphicData>
            </a:graphic>
          </wp:inline>
        </w:drawing>
      </w:r>
    </w:p>
    <w:p>
      <w:pPr>
        <w:pStyle w:val="ImageCaption"/>
      </w:pPr>
      <w:bookmarkStart w:id="81" w:name="fig2"/>
      <w:r>
        <w:t xml:space="preserve">Figure </w:t>
      </w:r>
      <w:fldSimple w:instr="SEQ Figure \* ARABIC ">
        <w:r>
          <w:t>2</w:t>
        </w:r>
      </w:fldSimple>
      <w:r>
        <w:t xml:space="preserve">:</w:t>
      </w:r>
      <w:r>
        <w:t xml:space="preserve"> </w:t>
      </w:r>
      <w:bookmarkEnd w:id="81"/>
      <w:r>
        <w:t xml:space="preserve">please recycle</w:t>
      </w:r>
    </w:p>
    <w:p>
      <w:pPr>
        <w:pStyle w:val="BodyText"/>
      </w:pPr>
      <w:r>
        <w:t xml:space="preserve">Correct Citation for this Publication:</w:t>
      </w:r>
    </w:p>
    <w:p>
      <w:pPr>
        <w:pStyle w:val="BodyText"/>
      </w:pPr>
      <w:r>
        <w:t xml:space="preserve">DFO. 2020. Assessment of Scotian Shelf Snow Crab. DFO Can. Sci. Advis.</w:t>
      </w:r>
      <w:r>
        <w:t xml:space="preserve"> </w:t>
      </w:r>
      <w:r>
        <w:t xml:space="preserve">Sec. Sci. Advis. Rep. 2020/nnn.</w:t>
      </w:r>
    </w:p>
    <w:p>
      <w:pPr>
        <w:pStyle w:val="BodyText"/>
      </w:pPr>
      <w:r>
        <w:t xml:space="preserve">Aussi disponible en français:</w:t>
      </w:r>
    </w:p>
    <w:p>
      <w:pPr>
        <w:pStyle w:val="BodyText"/>
      </w:pPr>
      <w:r>
        <w:t xml:space="preserve">MPO. 2020. &lt;&lt; insérez le titre ici – il doit correspondre exactement</w:t>
      </w:r>
      <w:r>
        <w:t xml:space="preserve"> </w:t>
      </w:r>
      <w:r>
        <w:t xml:space="preserve">à celui de la page couverture, mais en lettres minuscules &gt;&gt;. Secr.</w:t>
      </w:r>
      <w:r>
        <w:t xml:space="preserve"> </w:t>
      </w:r>
      <w:r>
        <w:t xml:space="preserve">can. de consult. sci. du MPO, Avis sci. 2020/nnn.</w:t>
      </w:r>
    </w:p>
    <w:bookmarkEnd w:id="82"/>
    <w:bookmarkEnd w:id="83"/>
    <w:sectPr w:rsidR="00FD1713" w:rsidRPr="00FD1713" w:rsidSect="008602A3">
      <w:headerReference r:id="rId9" w:type="default"/>
      <w:footerReference r:id="rId11" w:type="default"/>
      <w:headerReference r:id="rId10" w:type="first"/>
      <w:footerReference r:id="rId12" w:type="first"/>
      <w:pgSz w:code="1" w:h="15840" w:w="12240"/>
      <w:pgMar w:bottom="1440" w:footer="601" w:gutter="0" w:header="862" w:left="1440" w:right="1440" w:top="1440"/>
      <w:cols w:space="360"/>
      <w:titlePg/>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F4A" w:rsidRDefault="003131B3">
    <w:pPr>
      <w:pBdr>
        <w:top w:val="single" w:sz="6" w:space="1" w:color="auto"/>
      </w:pBdr>
      <w:jc w:val="center"/>
    </w:pPr>
    <w:r>
      <w:rPr>
        <w:rStyle w:val="PageNumber"/>
      </w:rPr>
      <w:fldChar w:fldCharType="begin"/>
    </w:r>
    <w:r w:rsidR="00603F4A">
      <w:rPr>
        <w:rStyle w:val="PageNumber"/>
      </w:rPr>
      <w:instrText xml:space="preserve"> PAGE </w:instrText>
    </w:r>
    <w:r>
      <w:rPr>
        <w:rStyle w:val="PageNumber"/>
      </w:rPr>
      <w:fldChar w:fldCharType="separate"/>
    </w:r>
    <w:r w:rsidR="00E76791">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3F4A" w:rsidRPr="00EC1A26" w:rsidRDefault="00603F4A" w:rsidP="003C66FB">
    <w:pPr>
      <w:pBdr>
        <w:top w:val="single" w:sz="4" w:space="1" w:color="auto"/>
      </w:pBdr>
      <w:tabs>
        <w:tab w:val="right" w:pos="9360"/>
      </w:tabs>
    </w:pPr>
    <w:r>
      <w:rPr>
        <w:lang w:val="en-GB"/>
      </w:rPr>
      <w:t>Release date (Month Year)</w:t>
    </w:r>
    <w:r>
      <w:rPr>
        <w:lang w:val="en-GB"/>
      </w:rPr>
      <w:tab/>
    </w:r>
    <w:r w:rsidR="00C15A77">
      <w:rPr>
        <w:noProof/>
      </w:rPr>
      <w:drawing>
        <wp:inline distT="0" distB="0" distL="0" distR="0" wp14:anchorId="2785C901" wp14:editId="527CF5EB">
          <wp:extent cx="1299210" cy="30988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9210" cy="309880"/>
                  </a:xfrm>
                  <a:prstGeom prst="rect">
                    <a:avLst/>
                  </a:prstGeom>
                  <a:noFill/>
                  <a:ln>
                    <a:noFill/>
                  </a:ln>
                </pic:spPr>
              </pic:pic>
            </a:graphicData>
          </a:graphic>
        </wp:inline>
      </w:drawing>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bottom w:val="single" w:sz="4" w:space="0" w:color="auto"/>
      </w:tblBorders>
      <w:tblLook w:val="04A0" w:firstRow="1" w:lastRow="0" w:firstColumn="1" w:lastColumn="0" w:noHBand="0" w:noVBand="1"/>
    </w:tblPr>
    <w:tblGrid>
      <w:gridCol w:w="3870"/>
      <w:gridCol w:w="5490"/>
    </w:tblGrid>
    <w:tr w:rsidR="00C720B1" w:rsidTr="00874E28">
      <w:tc>
        <w:tcPr>
          <w:tcW w:w="3870" w:type="dxa"/>
          <w:vAlign w:val="bottom"/>
        </w:tcPr>
        <w:p w:rsidR="00C720B1" w:rsidRDefault="00C720B1" w:rsidP="001B23A6">
          <w:pPr>
            <w:pStyle w:val="PageHeaderRegionsNameofthereport"/>
          </w:pPr>
          <w:r w:rsidRPr="00B17116">
            <w:t>Name of Region</w:t>
          </w:r>
        </w:p>
      </w:tc>
      <w:tc>
        <w:tcPr>
          <w:tcW w:w="5490" w:type="dxa"/>
          <w:vAlign w:val="bottom"/>
        </w:tcPr>
        <w:p w:rsidR="00C720B1" w:rsidRDefault="008F4D56" w:rsidP="00874E28">
          <w:pPr>
            <w:pStyle w:val="PageHeaderRegionsNameofthereport"/>
            <w:jc w:val="right"/>
          </w:pPr>
          <w:r w:rsidRPr="00393644">
            <w:t>Science R</w:t>
          </w:r>
          <w:r w:rsidR="00874E28">
            <w:t xml:space="preserve">esponse: title </w:t>
          </w:r>
          <w:r w:rsidRPr="00393644">
            <w:t>(can be abbreviated)</w:t>
          </w:r>
        </w:p>
      </w:tc>
    </w:tr>
  </w:tbl>
  <w:p w:rsidR="00603F4A" w:rsidRPr="00855398" w:rsidRDefault="00603F4A" w:rsidP="00855398">
    <w:pPr>
      <w:tabs>
        <w:tab w:val="right" w:pos="9360"/>
      </w:tabs>
      <w:rPr>
        <w:sz w:val="16"/>
        <w:szCs w:val="16"/>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2A3" w:rsidRDefault="008602A3" w:rsidP="008602A3">
    <w:pPr>
      <w:rPr>
        <w:sz w:val="24"/>
      </w:rPr>
    </w:pPr>
    <w:r>
      <w:rPr>
        <w:noProof/>
      </w:rPr>
      <w:drawing>
        <wp:inline distT="0" distB="0" distL="0" distR="0" wp14:anchorId="378B776B" wp14:editId="7C710954">
          <wp:extent cx="3317240" cy="61214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 name="Picture 2" descr="C:\Users\RondeauI\Desktop\Templates&amp;Forms\e_eso_bw.gif"/>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7240" cy="612140"/>
                  </a:xfrm>
                  <a:prstGeom prst="rect">
                    <a:avLst/>
                  </a:prstGeom>
                  <a:noFill/>
                  <a:ln>
                    <a:noFill/>
                  </a:ln>
                </pic:spPr>
              </pic:pic>
            </a:graphicData>
          </a:graphic>
        </wp:inline>
      </w:drawing>
    </w:r>
  </w:p>
  <w:p w:rsidR="008602A3" w:rsidRPr="00393644" w:rsidRDefault="008602A3" w:rsidP="008602A3">
    <w:pPr>
      <w:pStyle w:val="CoverPageHeaderCSAS"/>
    </w:pPr>
    <w:r w:rsidRPr="00393644">
      <w:rPr>
        <w:sz w:val="24"/>
      </w:rPr>
      <w:tab/>
    </w:r>
    <w:r w:rsidRPr="00393644">
      <w:t>Canadian Science Advisory Secretariat</w:t>
    </w:r>
  </w:p>
  <w:p w:rsidR="008602A3" w:rsidRPr="00393644" w:rsidRDefault="008602A3" w:rsidP="008602A3">
    <w:pPr>
      <w:pStyle w:val="CoverPageHeaderregions"/>
      <w:rPr>
        <w:szCs w:val="22"/>
      </w:rPr>
    </w:pPr>
    <w:r w:rsidRPr="00393644">
      <w:t>Name of the Region</w:t>
    </w:r>
    <w:r>
      <w:tab/>
    </w:r>
    <w:r w:rsidRPr="00393644">
      <w:t xml:space="preserve">Science </w:t>
    </w:r>
    <w:r w:rsidR="00C720B1">
      <w:t>Response</w:t>
    </w:r>
    <w:r w:rsidR="000B3CAC">
      <w:t xml:space="preserve"> 202</w:t>
    </w:r>
    <w:r w:rsidR="00190DA1">
      <w:t>1</w:t>
    </w:r>
    <w:r w:rsidRPr="00393644">
      <w:t>/</w:t>
    </w:r>
    <w:proofErr w:type="spellStart"/>
    <w:r>
      <w:t>nnn</w:t>
    </w:r>
    <w:proofErr w:type="spellEnd"/>
  </w:p>
  <w:p w:rsidR="008602A3" w:rsidRPr="00F30853" w:rsidRDefault="008602A3" w:rsidP="008602A3">
    <w:pPr>
      <w:tabs>
        <w:tab w:val="right" w:pos="9356"/>
      </w:tabs>
      <w:rPr>
        <w:b/>
        <w:sz w:val="16"/>
        <w:szCs w:val="16"/>
      </w:rPr>
    </w:pP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599E7A6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C9F2CEB0"/>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17E0F72"/>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AA88A1DA"/>
    <w:lvl w:ilvl="0">
      <w:start w:val="1"/>
      <w:numFmt w:val="lowerLetter"/>
      <w:pStyle w:val="ListNumber2"/>
      <w:lvlText w:val="%1."/>
      <w:lvlJc w:val="left"/>
      <w:pPr>
        <w:ind w:hanging="360" w:left="643"/>
      </w:pPr>
    </w:lvl>
  </w:abstractNum>
  <w:abstractNum w15:restartNumberingAfterBreak="0" w:abstractNumId="4">
    <w:nsid w:val="FFFFFF80"/>
    <w:multiLevelType w:val="singleLevel"/>
    <w:tmpl w:val="BEC6623E"/>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3750446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FCBEAFE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1AE07ACC"/>
    <w:lvl w:ilvl="0">
      <w:start w:val="1"/>
      <w:numFmt w:val="bullet"/>
      <w:pStyle w:val="ListBullet2"/>
      <w:lvlText w:val="o"/>
      <w:lvlJc w:val="left"/>
      <w:pPr>
        <w:ind w:hanging="360" w:left="643"/>
      </w:pPr>
      <w:rPr>
        <w:rFonts w:ascii="Courier New" w:cs="Courier New" w:hAnsi="Courier New" w:hint="default"/>
      </w:rPr>
    </w:lvl>
  </w:abstractNum>
  <w:abstractNum w15:restartNumberingAfterBreak="0" w:abstractNumId="8">
    <w:nsid w:val="FFFFFF88"/>
    <w:multiLevelType w:val="singleLevel"/>
    <w:tmpl w:val="5594654E"/>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99AC4BA"/>
    <w:lvl w:ilvl="0">
      <w:start w:val="1"/>
      <w:numFmt w:val="bullet"/>
      <w:pStyle w:val="ListBullet"/>
      <w:lvlText w:val=""/>
      <w:lvlJc w:val="left"/>
      <w:pPr>
        <w:tabs>
          <w:tab w:pos="360" w:val="num"/>
        </w:tabs>
        <w:ind w:hanging="360" w:left="360"/>
      </w:pPr>
      <w:rPr>
        <w:rFonts w:ascii="Symbol" w:hAnsi="Symbol" w:hint="default"/>
        <w:lang w:val="en-CA"/>
      </w:rPr>
    </w:lvl>
  </w:abstractNum>
  <w:abstractNum w15:restartNumberingAfterBreak="0" w:abstractNumId="10">
    <w:nsid w:val="FFFFFFFE"/>
    <w:multiLevelType w:val="singleLevel"/>
    <w:tmpl w:val="FFFFFFFF"/>
    <w:lvl w:ilvl="0">
      <w:numFmt w:val="decimal"/>
      <w:lvlText w:val="*"/>
      <w:lvlJc w:val="left"/>
    </w:lvl>
  </w:abstractNum>
  <w:abstractNum w15:restartNumberingAfterBreak="0" w:abstractNumId="11">
    <w:nsid w:val="020769A4"/>
    <w:multiLevelType w:val="multilevel"/>
    <w:tmpl w:val="AA528E86"/>
    <w:lvl w:ilvl="0">
      <w:start w:val="1"/>
      <w:numFmt w:val="bullet"/>
      <w:lvlText w:val=""/>
      <w:lvlJc w:val="left"/>
      <w:pPr>
        <w:tabs>
          <w:tab w:pos="567" w:val="num"/>
        </w:tabs>
        <w:ind w:hanging="567" w:left="567"/>
      </w:pPr>
      <w:rPr>
        <w:rFonts w:ascii="Symbol" w:hAnsi="Symbol" w:hint="default"/>
        <w:sz w:val="22"/>
      </w:rPr>
    </w:lvl>
    <w:lvl w:ilvl="1">
      <w:start w:val="1"/>
      <w:numFmt w:val="bullet"/>
      <w:lvlText w:val="o"/>
      <w:lvlJc w:val="left"/>
      <w:pPr>
        <w:tabs>
          <w:tab w:pos="1440" w:val="num"/>
        </w:tabs>
        <w:ind w:hanging="360" w:left="1440"/>
      </w:pPr>
      <w:rPr>
        <w:rFonts w:ascii="Courier New" w:hAnsi="Courier New" w:hint="default"/>
      </w:rPr>
    </w:lvl>
    <w:lvl w:ilvl="2">
      <w:start w:val="1"/>
      <w:numFmt w:val="bullet"/>
      <w:lvlText w:val=""/>
      <w:lvlJc w:val="left"/>
      <w:pPr>
        <w:tabs>
          <w:tab w:pos="2160" w:val="num"/>
        </w:tabs>
        <w:ind w:hanging="360" w:left="2160"/>
      </w:pPr>
      <w:rPr>
        <w:rFonts w:ascii="Wingdings" w:hAnsi="Wingdings" w:hint="default"/>
      </w:rPr>
    </w:lvl>
    <w:lvl w:ilvl="3">
      <w:start w:val="1"/>
      <w:numFmt w:val="bullet"/>
      <w:lvlText w:val=""/>
      <w:lvlJc w:val="left"/>
      <w:pPr>
        <w:tabs>
          <w:tab w:pos="2880" w:val="num"/>
        </w:tabs>
        <w:ind w:hanging="360" w:left="2880"/>
      </w:pPr>
      <w:rPr>
        <w:rFonts w:ascii="Symbol" w:hAnsi="Symbol" w:hint="default"/>
      </w:rPr>
    </w:lvl>
    <w:lvl w:ilvl="4">
      <w:start w:val="1"/>
      <w:numFmt w:val="bullet"/>
      <w:lvlText w:val="o"/>
      <w:lvlJc w:val="left"/>
      <w:pPr>
        <w:tabs>
          <w:tab w:pos="3600" w:val="num"/>
        </w:tabs>
        <w:ind w:hanging="360" w:left="3600"/>
      </w:pPr>
      <w:rPr>
        <w:rFonts w:ascii="Courier New" w:hAnsi="Courier New" w:hint="default"/>
      </w:rPr>
    </w:lvl>
    <w:lvl w:ilvl="5">
      <w:start w:val="1"/>
      <w:numFmt w:val="bullet"/>
      <w:lvlText w:val=""/>
      <w:lvlJc w:val="left"/>
      <w:pPr>
        <w:tabs>
          <w:tab w:pos="4320" w:val="num"/>
        </w:tabs>
        <w:ind w:hanging="360" w:left="4320"/>
      </w:pPr>
      <w:rPr>
        <w:rFonts w:ascii="Wingdings" w:hAnsi="Wingdings" w:hint="default"/>
      </w:rPr>
    </w:lvl>
    <w:lvl w:ilvl="6">
      <w:start w:val="1"/>
      <w:numFmt w:val="bullet"/>
      <w:lvlText w:val=""/>
      <w:lvlJc w:val="left"/>
      <w:pPr>
        <w:tabs>
          <w:tab w:pos="5040" w:val="num"/>
        </w:tabs>
        <w:ind w:hanging="360" w:left="5040"/>
      </w:pPr>
      <w:rPr>
        <w:rFonts w:ascii="Symbol" w:hAnsi="Symbol" w:hint="default"/>
      </w:rPr>
    </w:lvl>
    <w:lvl w:ilvl="7">
      <w:start w:val="1"/>
      <w:numFmt w:val="bullet"/>
      <w:lvlText w:val="o"/>
      <w:lvlJc w:val="left"/>
      <w:pPr>
        <w:tabs>
          <w:tab w:pos="5760" w:val="num"/>
        </w:tabs>
        <w:ind w:hanging="360" w:left="5760"/>
      </w:pPr>
      <w:rPr>
        <w:rFonts w:ascii="Courier New" w:hAnsi="Courier New" w:hint="default"/>
      </w:rPr>
    </w:lvl>
    <w:lvl w:ilvl="8">
      <w:start w:val="1"/>
      <w:numFmt w:val="bullet"/>
      <w:lvlText w:val=""/>
      <w:lvlJc w:val="left"/>
      <w:pPr>
        <w:tabs>
          <w:tab w:pos="6480" w:val="num"/>
        </w:tabs>
        <w:ind w:hanging="360" w:left="6480"/>
      </w:pPr>
      <w:rPr>
        <w:rFonts w:ascii="Wingdings" w:hAnsi="Wingdings" w:hint="default"/>
      </w:rPr>
    </w:lvl>
  </w:abstractNum>
  <w:abstractNum w15:restartNumberingAfterBreak="0" w:abstractNumId="12">
    <w:nsid w:val="031A2FD7"/>
    <w:multiLevelType w:val="hybridMultilevel"/>
    <w:tmpl w:val="143828AA"/>
    <w:lvl w:ilvl="0" w:tplc="04090001">
      <w:start w:val="1"/>
      <w:numFmt w:val="bullet"/>
      <w:lvlText w:val=""/>
      <w:lvlJc w:val="left"/>
      <w:pPr>
        <w:tabs>
          <w:tab w:pos="720" w:val="num"/>
        </w:tabs>
        <w:ind w:hanging="360" w:left="720"/>
      </w:pPr>
      <w:rPr>
        <w:rFonts w:ascii="Symbol" w:hAnsi="Symbol" w:hint="default"/>
      </w:rPr>
    </w:lvl>
    <w:lvl w:ilvl="1" w:tentative="1" w:tplc="04090003">
      <w:start w:val="1"/>
      <w:numFmt w:val="bullet"/>
      <w:lvlText w:val="o"/>
      <w:lvlJc w:val="left"/>
      <w:pPr>
        <w:tabs>
          <w:tab w:pos="1440" w:val="num"/>
        </w:tabs>
        <w:ind w:hanging="360" w:left="1440"/>
      </w:pPr>
      <w:rPr>
        <w:rFonts w:ascii="Courier New" w:cs="Courier New" w:hAnsi="Courier New" w:hint="default"/>
      </w:rPr>
    </w:lvl>
    <w:lvl w:ilvl="2" w:tentative="1" w:tplc="04090005">
      <w:start w:val="1"/>
      <w:numFmt w:val="bullet"/>
      <w:lvlText w:val=""/>
      <w:lvlJc w:val="left"/>
      <w:pPr>
        <w:tabs>
          <w:tab w:pos="2160" w:val="num"/>
        </w:tabs>
        <w:ind w:hanging="360" w:left="2160"/>
      </w:pPr>
      <w:rPr>
        <w:rFonts w:ascii="Wingdings" w:hAnsi="Wingdings" w:hint="default"/>
      </w:rPr>
    </w:lvl>
    <w:lvl w:ilvl="3" w:tentative="1" w:tplc="04090001">
      <w:start w:val="1"/>
      <w:numFmt w:val="bullet"/>
      <w:lvlText w:val=""/>
      <w:lvlJc w:val="left"/>
      <w:pPr>
        <w:tabs>
          <w:tab w:pos="2880" w:val="num"/>
        </w:tabs>
        <w:ind w:hanging="360" w:left="2880"/>
      </w:pPr>
      <w:rPr>
        <w:rFonts w:ascii="Symbol" w:hAnsi="Symbol" w:hint="default"/>
      </w:rPr>
    </w:lvl>
    <w:lvl w:ilvl="4" w:tentative="1" w:tplc="04090003">
      <w:start w:val="1"/>
      <w:numFmt w:val="bullet"/>
      <w:lvlText w:val="o"/>
      <w:lvlJc w:val="left"/>
      <w:pPr>
        <w:tabs>
          <w:tab w:pos="3600" w:val="num"/>
        </w:tabs>
        <w:ind w:hanging="360" w:left="3600"/>
      </w:pPr>
      <w:rPr>
        <w:rFonts w:ascii="Courier New" w:cs="Courier New" w:hAnsi="Courier New" w:hint="default"/>
      </w:rPr>
    </w:lvl>
    <w:lvl w:ilvl="5" w:tentative="1" w:tplc="04090005">
      <w:start w:val="1"/>
      <w:numFmt w:val="bullet"/>
      <w:lvlText w:val=""/>
      <w:lvlJc w:val="left"/>
      <w:pPr>
        <w:tabs>
          <w:tab w:pos="4320" w:val="num"/>
        </w:tabs>
        <w:ind w:hanging="360" w:left="4320"/>
      </w:pPr>
      <w:rPr>
        <w:rFonts w:ascii="Wingdings" w:hAnsi="Wingdings" w:hint="default"/>
      </w:rPr>
    </w:lvl>
    <w:lvl w:ilvl="6" w:tentative="1" w:tplc="04090001">
      <w:start w:val="1"/>
      <w:numFmt w:val="bullet"/>
      <w:lvlText w:val=""/>
      <w:lvlJc w:val="left"/>
      <w:pPr>
        <w:tabs>
          <w:tab w:pos="5040" w:val="num"/>
        </w:tabs>
        <w:ind w:hanging="360" w:left="5040"/>
      </w:pPr>
      <w:rPr>
        <w:rFonts w:ascii="Symbol" w:hAnsi="Symbol" w:hint="default"/>
      </w:rPr>
    </w:lvl>
    <w:lvl w:ilvl="7" w:tentative="1" w:tplc="04090003">
      <w:start w:val="1"/>
      <w:numFmt w:val="bullet"/>
      <w:lvlText w:val="o"/>
      <w:lvlJc w:val="left"/>
      <w:pPr>
        <w:tabs>
          <w:tab w:pos="5760" w:val="num"/>
        </w:tabs>
        <w:ind w:hanging="360" w:left="5760"/>
      </w:pPr>
      <w:rPr>
        <w:rFonts w:ascii="Courier New" w:cs="Courier New" w:hAnsi="Courier New" w:hint="default"/>
      </w:rPr>
    </w:lvl>
    <w:lvl w:ilvl="8" w:tentative="1" w:tplc="04090005">
      <w:start w:val="1"/>
      <w:numFmt w:val="bullet"/>
      <w:lvlText w:val=""/>
      <w:lvlJc w:val="left"/>
      <w:pPr>
        <w:tabs>
          <w:tab w:pos="6480" w:val="num"/>
        </w:tabs>
        <w:ind w:hanging="360" w:left="6480"/>
      </w:pPr>
      <w:rPr>
        <w:rFonts w:ascii="Wingdings" w:hAnsi="Wingdings" w:hint="default"/>
      </w:rPr>
    </w:lvl>
  </w:abstractNum>
  <w:abstractNum w15:restartNumberingAfterBreak="0" w:abstractNumId="13">
    <w:nsid w:val="03AB6E20"/>
    <w:multiLevelType w:val="multilevel"/>
    <w:tmpl w:val="AA528E86"/>
    <w:lvl w:ilvl="0">
      <w:start w:val="1"/>
      <w:numFmt w:val="bullet"/>
      <w:lvlText w:val=""/>
      <w:lvlJc w:val="left"/>
      <w:pPr>
        <w:tabs>
          <w:tab w:pos="567" w:val="num"/>
        </w:tabs>
        <w:ind w:hanging="567" w:left="567"/>
      </w:pPr>
      <w:rPr>
        <w:rFonts w:ascii="Symbol" w:hAnsi="Symbol" w:hint="default"/>
        <w:sz w:val="22"/>
      </w:rPr>
    </w:lvl>
    <w:lvl w:ilvl="1">
      <w:start w:val="1"/>
      <w:numFmt w:val="bullet"/>
      <w:lvlText w:val="o"/>
      <w:lvlJc w:val="left"/>
      <w:pPr>
        <w:tabs>
          <w:tab w:pos="1440" w:val="num"/>
        </w:tabs>
        <w:ind w:hanging="360" w:left="1440"/>
      </w:pPr>
      <w:rPr>
        <w:rFonts w:ascii="Courier New" w:hAnsi="Courier New" w:hint="default"/>
      </w:rPr>
    </w:lvl>
    <w:lvl w:ilvl="2">
      <w:start w:val="1"/>
      <w:numFmt w:val="bullet"/>
      <w:lvlText w:val=""/>
      <w:lvlJc w:val="left"/>
      <w:pPr>
        <w:tabs>
          <w:tab w:pos="2160" w:val="num"/>
        </w:tabs>
        <w:ind w:hanging="360" w:left="2160"/>
      </w:pPr>
      <w:rPr>
        <w:rFonts w:ascii="Wingdings" w:hAnsi="Wingdings" w:hint="default"/>
      </w:rPr>
    </w:lvl>
    <w:lvl w:ilvl="3">
      <w:start w:val="1"/>
      <w:numFmt w:val="bullet"/>
      <w:lvlText w:val=""/>
      <w:lvlJc w:val="left"/>
      <w:pPr>
        <w:tabs>
          <w:tab w:pos="2880" w:val="num"/>
        </w:tabs>
        <w:ind w:hanging="360" w:left="2880"/>
      </w:pPr>
      <w:rPr>
        <w:rFonts w:ascii="Symbol" w:hAnsi="Symbol" w:hint="default"/>
      </w:rPr>
    </w:lvl>
    <w:lvl w:ilvl="4">
      <w:start w:val="1"/>
      <w:numFmt w:val="bullet"/>
      <w:lvlText w:val="o"/>
      <w:lvlJc w:val="left"/>
      <w:pPr>
        <w:tabs>
          <w:tab w:pos="3600" w:val="num"/>
        </w:tabs>
        <w:ind w:hanging="360" w:left="3600"/>
      </w:pPr>
      <w:rPr>
        <w:rFonts w:ascii="Courier New" w:hAnsi="Courier New" w:hint="default"/>
      </w:rPr>
    </w:lvl>
    <w:lvl w:ilvl="5">
      <w:start w:val="1"/>
      <w:numFmt w:val="bullet"/>
      <w:lvlText w:val=""/>
      <w:lvlJc w:val="left"/>
      <w:pPr>
        <w:tabs>
          <w:tab w:pos="4320" w:val="num"/>
        </w:tabs>
        <w:ind w:hanging="360" w:left="4320"/>
      </w:pPr>
      <w:rPr>
        <w:rFonts w:ascii="Wingdings" w:hAnsi="Wingdings" w:hint="default"/>
      </w:rPr>
    </w:lvl>
    <w:lvl w:ilvl="6">
      <w:start w:val="1"/>
      <w:numFmt w:val="bullet"/>
      <w:lvlText w:val=""/>
      <w:lvlJc w:val="left"/>
      <w:pPr>
        <w:tabs>
          <w:tab w:pos="5040" w:val="num"/>
        </w:tabs>
        <w:ind w:hanging="360" w:left="5040"/>
      </w:pPr>
      <w:rPr>
        <w:rFonts w:ascii="Symbol" w:hAnsi="Symbol" w:hint="default"/>
      </w:rPr>
    </w:lvl>
    <w:lvl w:ilvl="7">
      <w:start w:val="1"/>
      <w:numFmt w:val="bullet"/>
      <w:lvlText w:val="o"/>
      <w:lvlJc w:val="left"/>
      <w:pPr>
        <w:tabs>
          <w:tab w:pos="5760" w:val="num"/>
        </w:tabs>
        <w:ind w:hanging="360" w:left="5760"/>
      </w:pPr>
      <w:rPr>
        <w:rFonts w:ascii="Courier New" w:hAnsi="Courier New" w:hint="default"/>
      </w:rPr>
    </w:lvl>
    <w:lvl w:ilvl="8">
      <w:start w:val="1"/>
      <w:numFmt w:val="bullet"/>
      <w:lvlText w:val=""/>
      <w:lvlJc w:val="left"/>
      <w:pPr>
        <w:tabs>
          <w:tab w:pos="6480" w:val="num"/>
        </w:tabs>
        <w:ind w:hanging="360" w:left="6480"/>
      </w:pPr>
      <w:rPr>
        <w:rFonts w:ascii="Wingdings" w:hAnsi="Wingdings" w:hint="default"/>
      </w:rPr>
    </w:lvl>
  </w:abstractNum>
  <w:abstractNum w15:restartNumberingAfterBreak="0" w:abstractNumId="14">
    <w:nsid w:val="07190C0E"/>
    <w:multiLevelType w:val="hybridMultilevel"/>
    <w:tmpl w:val="3A24D1A0"/>
    <w:lvl w:ilvl="0" w:tplc="04090001">
      <w:start w:val="1"/>
      <w:numFmt w:val="bullet"/>
      <w:lvlText w:val=""/>
      <w:lvlJc w:val="left"/>
      <w:pPr>
        <w:tabs>
          <w:tab w:pos="720" w:val="num"/>
        </w:tabs>
        <w:ind w:hanging="360" w:left="720"/>
      </w:pPr>
      <w:rPr>
        <w:rFonts w:ascii="Symbol" w:hAnsi="Symbol" w:hint="default"/>
      </w:rPr>
    </w:lvl>
    <w:lvl w:ilvl="1" w:tentative="1" w:tplc="04090003">
      <w:start w:val="1"/>
      <w:numFmt w:val="bullet"/>
      <w:lvlText w:val="o"/>
      <w:lvlJc w:val="left"/>
      <w:pPr>
        <w:tabs>
          <w:tab w:pos="1440" w:val="num"/>
        </w:tabs>
        <w:ind w:hanging="360" w:left="1440"/>
      </w:pPr>
      <w:rPr>
        <w:rFonts w:ascii="Courier New" w:cs="Courier New" w:hAnsi="Courier New" w:hint="default"/>
      </w:rPr>
    </w:lvl>
    <w:lvl w:ilvl="2" w:tentative="1" w:tplc="04090005">
      <w:start w:val="1"/>
      <w:numFmt w:val="bullet"/>
      <w:lvlText w:val=""/>
      <w:lvlJc w:val="left"/>
      <w:pPr>
        <w:tabs>
          <w:tab w:pos="2160" w:val="num"/>
        </w:tabs>
        <w:ind w:hanging="360" w:left="2160"/>
      </w:pPr>
      <w:rPr>
        <w:rFonts w:ascii="Wingdings" w:hAnsi="Wingdings" w:hint="default"/>
      </w:rPr>
    </w:lvl>
    <w:lvl w:ilvl="3" w:tentative="1" w:tplc="04090001">
      <w:start w:val="1"/>
      <w:numFmt w:val="bullet"/>
      <w:lvlText w:val=""/>
      <w:lvlJc w:val="left"/>
      <w:pPr>
        <w:tabs>
          <w:tab w:pos="2880" w:val="num"/>
        </w:tabs>
        <w:ind w:hanging="360" w:left="2880"/>
      </w:pPr>
      <w:rPr>
        <w:rFonts w:ascii="Symbol" w:hAnsi="Symbol" w:hint="default"/>
      </w:rPr>
    </w:lvl>
    <w:lvl w:ilvl="4" w:tentative="1" w:tplc="04090003">
      <w:start w:val="1"/>
      <w:numFmt w:val="bullet"/>
      <w:lvlText w:val="o"/>
      <w:lvlJc w:val="left"/>
      <w:pPr>
        <w:tabs>
          <w:tab w:pos="3600" w:val="num"/>
        </w:tabs>
        <w:ind w:hanging="360" w:left="3600"/>
      </w:pPr>
      <w:rPr>
        <w:rFonts w:ascii="Courier New" w:cs="Courier New" w:hAnsi="Courier New" w:hint="default"/>
      </w:rPr>
    </w:lvl>
    <w:lvl w:ilvl="5" w:tentative="1" w:tplc="04090005">
      <w:start w:val="1"/>
      <w:numFmt w:val="bullet"/>
      <w:lvlText w:val=""/>
      <w:lvlJc w:val="left"/>
      <w:pPr>
        <w:tabs>
          <w:tab w:pos="4320" w:val="num"/>
        </w:tabs>
        <w:ind w:hanging="360" w:left="4320"/>
      </w:pPr>
      <w:rPr>
        <w:rFonts w:ascii="Wingdings" w:hAnsi="Wingdings" w:hint="default"/>
      </w:rPr>
    </w:lvl>
    <w:lvl w:ilvl="6" w:tentative="1" w:tplc="04090001">
      <w:start w:val="1"/>
      <w:numFmt w:val="bullet"/>
      <w:lvlText w:val=""/>
      <w:lvlJc w:val="left"/>
      <w:pPr>
        <w:tabs>
          <w:tab w:pos="5040" w:val="num"/>
        </w:tabs>
        <w:ind w:hanging="360" w:left="5040"/>
      </w:pPr>
      <w:rPr>
        <w:rFonts w:ascii="Symbol" w:hAnsi="Symbol" w:hint="default"/>
      </w:rPr>
    </w:lvl>
    <w:lvl w:ilvl="7" w:tentative="1" w:tplc="04090003">
      <w:start w:val="1"/>
      <w:numFmt w:val="bullet"/>
      <w:lvlText w:val="o"/>
      <w:lvlJc w:val="left"/>
      <w:pPr>
        <w:tabs>
          <w:tab w:pos="5760" w:val="num"/>
        </w:tabs>
        <w:ind w:hanging="360" w:left="5760"/>
      </w:pPr>
      <w:rPr>
        <w:rFonts w:ascii="Courier New" w:cs="Courier New" w:hAnsi="Courier New" w:hint="default"/>
      </w:rPr>
    </w:lvl>
    <w:lvl w:ilvl="8" w:tentative="1" w:tplc="04090005">
      <w:start w:val="1"/>
      <w:numFmt w:val="bullet"/>
      <w:lvlText w:val=""/>
      <w:lvlJc w:val="left"/>
      <w:pPr>
        <w:tabs>
          <w:tab w:pos="6480" w:val="num"/>
        </w:tabs>
        <w:ind w:hanging="360" w:left="6480"/>
      </w:pPr>
      <w:rPr>
        <w:rFonts w:ascii="Wingdings" w:hAnsi="Wingdings" w:hint="default"/>
      </w:rPr>
    </w:lvl>
  </w:abstractNum>
  <w:abstractNum w15:restartNumberingAfterBreak="0" w:abstractNumId="15">
    <w:nsid w:val="09AE0B74"/>
    <w:multiLevelType w:val="multilevel"/>
    <w:tmpl w:val="AA528E86"/>
    <w:lvl w:ilvl="0">
      <w:start w:val="1"/>
      <w:numFmt w:val="bullet"/>
      <w:lvlText w:val=""/>
      <w:lvlJc w:val="left"/>
      <w:pPr>
        <w:tabs>
          <w:tab w:pos="567" w:val="num"/>
        </w:tabs>
        <w:ind w:hanging="567" w:left="567"/>
      </w:pPr>
      <w:rPr>
        <w:rFonts w:ascii="Symbol" w:hAnsi="Symbol" w:hint="default"/>
        <w:sz w:val="22"/>
      </w:rPr>
    </w:lvl>
    <w:lvl w:ilvl="1">
      <w:start w:val="1"/>
      <w:numFmt w:val="bullet"/>
      <w:lvlText w:val="o"/>
      <w:lvlJc w:val="left"/>
      <w:pPr>
        <w:tabs>
          <w:tab w:pos="1440" w:val="num"/>
        </w:tabs>
        <w:ind w:hanging="360" w:left="1440"/>
      </w:pPr>
      <w:rPr>
        <w:rFonts w:ascii="Courier New" w:hAnsi="Courier New" w:hint="default"/>
      </w:rPr>
    </w:lvl>
    <w:lvl w:ilvl="2">
      <w:start w:val="1"/>
      <w:numFmt w:val="bullet"/>
      <w:lvlText w:val=""/>
      <w:lvlJc w:val="left"/>
      <w:pPr>
        <w:tabs>
          <w:tab w:pos="2160" w:val="num"/>
        </w:tabs>
        <w:ind w:hanging="360" w:left="2160"/>
      </w:pPr>
      <w:rPr>
        <w:rFonts w:ascii="Wingdings" w:hAnsi="Wingdings" w:hint="default"/>
      </w:rPr>
    </w:lvl>
    <w:lvl w:ilvl="3">
      <w:start w:val="1"/>
      <w:numFmt w:val="bullet"/>
      <w:lvlText w:val=""/>
      <w:lvlJc w:val="left"/>
      <w:pPr>
        <w:tabs>
          <w:tab w:pos="2880" w:val="num"/>
        </w:tabs>
        <w:ind w:hanging="360" w:left="2880"/>
      </w:pPr>
      <w:rPr>
        <w:rFonts w:ascii="Symbol" w:hAnsi="Symbol" w:hint="default"/>
      </w:rPr>
    </w:lvl>
    <w:lvl w:ilvl="4">
      <w:start w:val="1"/>
      <w:numFmt w:val="bullet"/>
      <w:lvlText w:val="o"/>
      <w:lvlJc w:val="left"/>
      <w:pPr>
        <w:tabs>
          <w:tab w:pos="3600" w:val="num"/>
        </w:tabs>
        <w:ind w:hanging="360" w:left="3600"/>
      </w:pPr>
      <w:rPr>
        <w:rFonts w:ascii="Courier New" w:hAnsi="Courier New" w:hint="default"/>
      </w:rPr>
    </w:lvl>
    <w:lvl w:ilvl="5">
      <w:start w:val="1"/>
      <w:numFmt w:val="bullet"/>
      <w:lvlText w:val=""/>
      <w:lvlJc w:val="left"/>
      <w:pPr>
        <w:tabs>
          <w:tab w:pos="4320" w:val="num"/>
        </w:tabs>
        <w:ind w:hanging="360" w:left="4320"/>
      </w:pPr>
      <w:rPr>
        <w:rFonts w:ascii="Wingdings" w:hAnsi="Wingdings" w:hint="default"/>
      </w:rPr>
    </w:lvl>
    <w:lvl w:ilvl="6">
      <w:start w:val="1"/>
      <w:numFmt w:val="bullet"/>
      <w:lvlText w:val=""/>
      <w:lvlJc w:val="left"/>
      <w:pPr>
        <w:tabs>
          <w:tab w:pos="5040" w:val="num"/>
        </w:tabs>
        <w:ind w:hanging="360" w:left="5040"/>
      </w:pPr>
      <w:rPr>
        <w:rFonts w:ascii="Symbol" w:hAnsi="Symbol" w:hint="default"/>
      </w:rPr>
    </w:lvl>
    <w:lvl w:ilvl="7">
      <w:start w:val="1"/>
      <w:numFmt w:val="bullet"/>
      <w:lvlText w:val="o"/>
      <w:lvlJc w:val="left"/>
      <w:pPr>
        <w:tabs>
          <w:tab w:pos="5760" w:val="num"/>
        </w:tabs>
        <w:ind w:hanging="360" w:left="5760"/>
      </w:pPr>
      <w:rPr>
        <w:rFonts w:ascii="Courier New" w:hAnsi="Courier New" w:hint="default"/>
      </w:rPr>
    </w:lvl>
    <w:lvl w:ilvl="8">
      <w:start w:val="1"/>
      <w:numFmt w:val="bullet"/>
      <w:lvlText w:val=""/>
      <w:lvlJc w:val="left"/>
      <w:pPr>
        <w:tabs>
          <w:tab w:pos="6480" w:val="num"/>
        </w:tabs>
        <w:ind w:hanging="360" w:left="6480"/>
      </w:pPr>
      <w:rPr>
        <w:rFonts w:ascii="Wingdings" w:hAnsi="Wingdings" w:hint="default"/>
      </w:rPr>
    </w:lvl>
  </w:abstractNum>
  <w:abstractNum w15:restartNumberingAfterBreak="0" w:abstractNumId="16">
    <w:nsid w:val="09CE5DAF"/>
    <w:multiLevelType w:val="hybridMultilevel"/>
    <w:tmpl w:val="82A6B63A"/>
    <w:lvl w:ilvl="0" w:tplc="04090001">
      <w:start w:val="1"/>
      <w:numFmt w:val="bullet"/>
      <w:lvlText w:val=""/>
      <w:lvlJc w:val="left"/>
      <w:pPr>
        <w:tabs>
          <w:tab w:pos="720" w:val="num"/>
        </w:tabs>
        <w:ind w:hanging="360" w:left="720"/>
      </w:pPr>
      <w:rPr>
        <w:rFonts w:ascii="Symbol" w:hAnsi="Symbol" w:hint="default"/>
      </w:rPr>
    </w:lvl>
    <w:lvl w:ilvl="1" w:tentative="1" w:tplc="04090003">
      <w:start w:val="1"/>
      <w:numFmt w:val="bullet"/>
      <w:lvlText w:val="o"/>
      <w:lvlJc w:val="left"/>
      <w:pPr>
        <w:tabs>
          <w:tab w:pos="1440" w:val="num"/>
        </w:tabs>
        <w:ind w:hanging="360" w:left="1440"/>
      </w:pPr>
      <w:rPr>
        <w:rFonts w:ascii="Courier New" w:cs="Courier New" w:hAnsi="Courier New" w:hint="default"/>
      </w:rPr>
    </w:lvl>
    <w:lvl w:ilvl="2" w:tentative="1" w:tplc="04090005">
      <w:start w:val="1"/>
      <w:numFmt w:val="bullet"/>
      <w:lvlText w:val=""/>
      <w:lvlJc w:val="left"/>
      <w:pPr>
        <w:tabs>
          <w:tab w:pos="2160" w:val="num"/>
        </w:tabs>
        <w:ind w:hanging="360" w:left="2160"/>
      </w:pPr>
      <w:rPr>
        <w:rFonts w:ascii="Wingdings" w:hAnsi="Wingdings" w:hint="default"/>
      </w:rPr>
    </w:lvl>
    <w:lvl w:ilvl="3" w:tentative="1" w:tplc="04090001">
      <w:start w:val="1"/>
      <w:numFmt w:val="bullet"/>
      <w:lvlText w:val=""/>
      <w:lvlJc w:val="left"/>
      <w:pPr>
        <w:tabs>
          <w:tab w:pos="2880" w:val="num"/>
        </w:tabs>
        <w:ind w:hanging="360" w:left="2880"/>
      </w:pPr>
      <w:rPr>
        <w:rFonts w:ascii="Symbol" w:hAnsi="Symbol" w:hint="default"/>
      </w:rPr>
    </w:lvl>
    <w:lvl w:ilvl="4" w:tentative="1" w:tplc="04090003">
      <w:start w:val="1"/>
      <w:numFmt w:val="bullet"/>
      <w:lvlText w:val="o"/>
      <w:lvlJc w:val="left"/>
      <w:pPr>
        <w:tabs>
          <w:tab w:pos="3600" w:val="num"/>
        </w:tabs>
        <w:ind w:hanging="360" w:left="3600"/>
      </w:pPr>
      <w:rPr>
        <w:rFonts w:ascii="Courier New" w:cs="Courier New" w:hAnsi="Courier New" w:hint="default"/>
      </w:rPr>
    </w:lvl>
    <w:lvl w:ilvl="5" w:tentative="1" w:tplc="04090005">
      <w:start w:val="1"/>
      <w:numFmt w:val="bullet"/>
      <w:lvlText w:val=""/>
      <w:lvlJc w:val="left"/>
      <w:pPr>
        <w:tabs>
          <w:tab w:pos="4320" w:val="num"/>
        </w:tabs>
        <w:ind w:hanging="360" w:left="4320"/>
      </w:pPr>
      <w:rPr>
        <w:rFonts w:ascii="Wingdings" w:hAnsi="Wingdings" w:hint="default"/>
      </w:rPr>
    </w:lvl>
    <w:lvl w:ilvl="6" w:tentative="1" w:tplc="04090001">
      <w:start w:val="1"/>
      <w:numFmt w:val="bullet"/>
      <w:lvlText w:val=""/>
      <w:lvlJc w:val="left"/>
      <w:pPr>
        <w:tabs>
          <w:tab w:pos="5040" w:val="num"/>
        </w:tabs>
        <w:ind w:hanging="360" w:left="5040"/>
      </w:pPr>
      <w:rPr>
        <w:rFonts w:ascii="Symbol" w:hAnsi="Symbol" w:hint="default"/>
      </w:rPr>
    </w:lvl>
    <w:lvl w:ilvl="7" w:tentative="1" w:tplc="04090003">
      <w:start w:val="1"/>
      <w:numFmt w:val="bullet"/>
      <w:lvlText w:val="o"/>
      <w:lvlJc w:val="left"/>
      <w:pPr>
        <w:tabs>
          <w:tab w:pos="5760" w:val="num"/>
        </w:tabs>
        <w:ind w:hanging="360" w:left="5760"/>
      </w:pPr>
      <w:rPr>
        <w:rFonts w:ascii="Courier New" w:cs="Courier New" w:hAnsi="Courier New" w:hint="default"/>
      </w:rPr>
    </w:lvl>
    <w:lvl w:ilvl="8" w:tentative="1" w:tplc="04090005">
      <w:start w:val="1"/>
      <w:numFmt w:val="bullet"/>
      <w:lvlText w:val=""/>
      <w:lvlJc w:val="left"/>
      <w:pPr>
        <w:tabs>
          <w:tab w:pos="6480" w:val="num"/>
        </w:tabs>
        <w:ind w:hanging="360" w:left="6480"/>
      </w:pPr>
      <w:rPr>
        <w:rFonts w:ascii="Wingdings" w:hAnsi="Wingdings" w:hint="default"/>
      </w:rPr>
    </w:lvl>
  </w:abstractNum>
  <w:abstractNum w15:restartNumberingAfterBreak="0" w:abstractNumId="17">
    <w:nsid w:val="14D275AB"/>
    <w:multiLevelType w:val="multilevel"/>
    <w:tmpl w:val="AA528E86"/>
    <w:lvl w:ilvl="0">
      <w:start w:val="1"/>
      <w:numFmt w:val="bullet"/>
      <w:lvlText w:val=""/>
      <w:lvlJc w:val="left"/>
      <w:pPr>
        <w:tabs>
          <w:tab w:pos="567" w:val="num"/>
        </w:tabs>
        <w:ind w:hanging="567" w:left="567"/>
      </w:pPr>
      <w:rPr>
        <w:rFonts w:ascii="Symbol" w:hAnsi="Symbol" w:hint="default"/>
        <w:sz w:val="22"/>
      </w:rPr>
    </w:lvl>
    <w:lvl w:ilvl="1">
      <w:start w:val="1"/>
      <w:numFmt w:val="bullet"/>
      <w:lvlText w:val="o"/>
      <w:lvlJc w:val="left"/>
      <w:pPr>
        <w:tabs>
          <w:tab w:pos="1440" w:val="num"/>
        </w:tabs>
        <w:ind w:hanging="360" w:left="1440"/>
      </w:pPr>
      <w:rPr>
        <w:rFonts w:ascii="Courier New" w:hAnsi="Courier New" w:hint="default"/>
      </w:rPr>
    </w:lvl>
    <w:lvl w:ilvl="2">
      <w:start w:val="1"/>
      <w:numFmt w:val="bullet"/>
      <w:lvlText w:val=""/>
      <w:lvlJc w:val="left"/>
      <w:pPr>
        <w:tabs>
          <w:tab w:pos="2160" w:val="num"/>
        </w:tabs>
        <w:ind w:hanging="360" w:left="2160"/>
      </w:pPr>
      <w:rPr>
        <w:rFonts w:ascii="Wingdings" w:hAnsi="Wingdings" w:hint="default"/>
      </w:rPr>
    </w:lvl>
    <w:lvl w:ilvl="3">
      <w:start w:val="1"/>
      <w:numFmt w:val="bullet"/>
      <w:lvlText w:val=""/>
      <w:lvlJc w:val="left"/>
      <w:pPr>
        <w:tabs>
          <w:tab w:pos="2880" w:val="num"/>
        </w:tabs>
        <w:ind w:hanging="360" w:left="2880"/>
      </w:pPr>
      <w:rPr>
        <w:rFonts w:ascii="Symbol" w:hAnsi="Symbol" w:hint="default"/>
      </w:rPr>
    </w:lvl>
    <w:lvl w:ilvl="4">
      <w:start w:val="1"/>
      <w:numFmt w:val="bullet"/>
      <w:lvlText w:val="o"/>
      <w:lvlJc w:val="left"/>
      <w:pPr>
        <w:tabs>
          <w:tab w:pos="3600" w:val="num"/>
        </w:tabs>
        <w:ind w:hanging="360" w:left="3600"/>
      </w:pPr>
      <w:rPr>
        <w:rFonts w:ascii="Courier New" w:hAnsi="Courier New" w:hint="default"/>
      </w:rPr>
    </w:lvl>
    <w:lvl w:ilvl="5">
      <w:start w:val="1"/>
      <w:numFmt w:val="bullet"/>
      <w:lvlText w:val=""/>
      <w:lvlJc w:val="left"/>
      <w:pPr>
        <w:tabs>
          <w:tab w:pos="4320" w:val="num"/>
        </w:tabs>
        <w:ind w:hanging="360" w:left="4320"/>
      </w:pPr>
      <w:rPr>
        <w:rFonts w:ascii="Wingdings" w:hAnsi="Wingdings" w:hint="default"/>
      </w:rPr>
    </w:lvl>
    <w:lvl w:ilvl="6">
      <w:start w:val="1"/>
      <w:numFmt w:val="bullet"/>
      <w:lvlText w:val=""/>
      <w:lvlJc w:val="left"/>
      <w:pPr>
        <w:tabs>
          <w:tab w:pos="5040" w:val="num"/>
        </w:tabs>
        <w:ind w:hanging="360" w:left="5040"/>
      </w:pPr>
      <w:rPr>
        <w:rFonts w:ascii="Symbol" w:hAnsi="Symbol" w:hint="default"/>
      </w:rPr>
    </w:lvl>
    <w:lvl w:ilvl="7">
      <w:start w:val="1"/>
      <w:numFmt w:val="bullet"/>
      <w:lvlText w:val="o"/>
      <w:lvlJc w:val="left"/>
      <w:pPr>
        <w:tabs>
          <w:tab w:pos="5760" w:val="num"/>
        </w:tabs>
        <w:ind w:hanging="360" w:left="5760"/>
      </w:pPr>
      <w:rPr>
        <w:rFonts w:ascii="Courier New" w:hAnsi="Courier New" w:hint="default"/>
      </w:rPr>
    </w:lvl>
    <w:lvl w:ilvl="8">
      <w:start w:val="1"/>
      <w:numFmt w:val="bullet"/>
      <w:lvlText w:val=""/>
      <w:lvlJc w:val="left"/>
      <w:pPr>
        <w:tabs>
          <w:tab w:pos="6480" w:val="num"/>
        </w:tabs>
        <w:ind w:hanging="360" w:left="6480"/>
      </w:pPr>
      <w:rPr>
        <w:rFonts w:ascii="Wingdings" w:hAnsi="Wingdings" w:hint="default"/>
      </w:rPr>
    </w:lvl>
  </w:abstractNum>
  <w:abstractNum w15:restartNumberingAfterBreak="0" w:abstractNumId="18">
    <w:nsid w:val="14D6043B"/>
    <w:multiLevelType w:val="hybridMultilevel"/>
    <w:tmpl w:val="ECE6DA2E"/>
    <w:lvl w:ilvl="0" w:tplc="AAE8349C">
      <w:start w:val="1"/>
      <w:numFmt w:val="bullet"/>
      <w:lvlText w:val=""/>
      <w:lvlJc w:val="left"/>
      <w:pPr>
        <w:tabs>
          <w:tab w:pos="567" w:val="num"/>
        </w:tabs>
        <w:ind w:hanging="567" w:left="567"/>
      </w:pPr>
      <w:rPr>
        <w:rFonts w:ascii="Symbol" w:hAnsi="Symbol" w:hint="default"/>
      </w:rPr>
    </w:lvl>
    <w:lvl w:ilvl="1" w:tentative="1" w:tplc="10090003">
      <w:start w:val="1"/>
      <w:numFmt w:val="bullet"/>
      <w:lvlText w:val="o"/>
      <w:lvlJc w:val="left"/>
      <w:pPr>
        <w:tabs>
          <w:tab w:pos="1080" w:val="num"/>
        </w:tabs>
        <w:ind w:hanging="360" w:left="1080"/>
      </w:pPr>
      <w:rPr>
        <w:rFonts w:ascii="Courier New" w:cs="Courier New" w:hAnsi="Courier New" w:hint="default"/>
      </w:rPr>
    </w:lvl>
    <w:lvl w:ilvl="2" w:tentative="1" w:tplc="10090005">
      <w:start w:val="1"/>
      <w:numFmt w:val="bullet"/>
      <w:lvlText w:val=""/>
      <w:lvlJc w:val="left"/>
      <w:pPr>
        <w:tabs>
          <w:tab w:pos="1800" w:val="num"/>
        </w:tabs>
        <w:ind w:hanging="360" w:left="1800"/>
      </w:pPr>
      <w:rPr>
        <w:rFonts w:ascii="Wingdings" w:hAnsi="Wingdings" w:hint="default"/>
      </w:rPr>
    </w:lvl>
    <w:lvl w:ilvl="3" w:tentative="1" w:tplc="10090001">
      <w:start w:val="1"/>
      <w:numFmt w:val="bullet"/>
      <w:lvlText w:val=""/>
      <w:lvlJc w:val="left"/>
      <w:pPr>
        <w:tabs>
          <w:tab w:pos="2520" w:val="num"/>
        </w:tabs>
        <w:ind w:hanging="360" w:left="2520"/>
      </w:pPr>
      <w:rPr>
        <w:rFonts w:ascii="Symbol" w:hAnsi="Symbol" w:hint="default"/>
      </w:rPr>
    </w:lvl>
    <w:lvl w:ilvl="4" w:tentative="1" w:tplc="10090003">
      <w:start w:val="1"/>
      <w:numFmt w:val="bullet"/>
      <w:lvlText w:val="o"/>
      <w:lvlJc w:val="left"/>
      <w:pPr>
        <w:tabs>
          <w:tab w:pos="3240" w:val="num"/>
        </w:tabs>
        <w:ind w:hanging="360" w:left="3240"/>
      </w:pPr>
      <w:rPr>
        <w:rFonts w:ascii="Courier New" w:cs="Courier New" w:hAnsi="Courier New" w:hint="default"/>
      </w:rPr>
    </w:lvl>
    <w:lvl w:ilvl="5" w:tentative="1" w:tplc="10090005">
      <w:start w:val="1"/>
      <w:numFmt w:val="bullet"/>
      <w:lvlText w:val=""/>
      <w:lvlJc w:val="left"/>
      <w:pPr>
        <w:tabs>
          <w:tab w:pos="3960" w:val="num"/>
        </w:tabs>
        <w:ind w:hanging="360" w:left="3960"/>
      </w:pPr>
      <w:rPr>
        <w:rFonts w:ascii="Wingdings" w:hAnsi="Wingdings" w:hint="default"/>
      </w:rPr>
    </w:lvl>
    <w:lvl w:ilvl="6" w:tentative="1" w:tplc="10090001">
      <w:start w:val="1"/>
      <w:numFmt w:val="bullet"/>
      <w:lvlText w:val=""/>
      <w:lvlJc w:val="left"/>
      <w:pPr>
        <w:tabs>
          <w:tab w:pos="4680" w:val="num"/>
        </w:tabs>
        <w:ind w:hanging="360" w:left="4680"/>
      </w:pPr>
      <w:rPr>
        <w:rFonts w:ascii="Symbol" w:hAnsi="Symbol" w:hint="default"/>
      </w:rPr>
    </w:lvl>
    <w:lvl w:ilvl="7" w:tentative="1" w:tplc="10090003">
      <w:start w:val="1"/>
      <w:numFmt w:val="bullet"/>
      <w:lvlText w:val="o"/>
      <w:lvlJc w:val="left"/>
      <w:pPr>
        <w:tabs>
          <w:tab w:pos="5400" w:val="num"/>
        </w:tabs>
        <w:ind w:hanging="360" w:left="5400"/>
      </w:pPr>
      <w:rPr>
        <w:rFonts w:ascii="Courier New" w:cs="Courier New" w:hAnsi="Courier New" w:hint="default"/>
      </w:rPr>
    </w:lvl>
    <w:lvl w:ilvl="8" w:tentative="1" w:tplc="10090005">
      <w:start w:val="1"/>
      <w:numFmt w:val="bullet"/>
      <w:lvlText w:val=""/>
      <w:lvlJc w:val="left"/>
      <w:pPr>
        <w:tabs>
          <w:tab w:pos="6120" w:val="num"/>
        </w:tabs>
        <w:ind w:hanging="360" w:left="6120"/>
      </w:pPr>
      <w:rPr>
        <w:rFonts w:ascii="Wingdings" w:hAnsi="Wingdings" w:hint="default"/>
      </w:rPr>
    </w:lvl>
  </w:abstractNum>
  <w:abstractNum w15:restartNumberingAfterBreak="0" w:abstractNumId="19">
    <w:nsid w:val="161A22B6"/>
    <w:multiLevelType w:val="hybridMultilevel"/>
    <w:tmpl w:val="D9844E84"/>
    <w:lvl w:ilvl="0" w:tplc="040C0001">
      <w:start w:val="1"/>
      <w:numFmt w:val="bullet"/>
      <w:lvlText w:val=""/>
      <w:lvlJc w:val="left"/>
      <w:pPr>
        <w:tabs>
          <w:tab w:pos="720" w:val="num"/>
        </w:tabs>
        <w:ind w:hanging="360" w:left="720"/>
      </w:pPr>
      <w:rPr>
        <w:rFonts w:ascii="Symbol" w:hAnsi="Symbol" w:hint="default"/>
      </w:rPr>
    </w:lvl>
    <w:lvl w:ilvl="1" w:tentative="1" w:tplc="040C0003">
      <w:start w:val="1"/>
      <w:numFmt w:val="bullet"/>
      <w:lvlText w:val="o"/>
      <w:lvlJc w:val="left"/>
      <w:pPr>
        <w:tabs>
          <w:tab w:pos="1440" w:val="num"/>
        </w:tabs>
        <w:ind w:hanging="360" w:left="1440"/>
      </w:pPr>
      <w:rPr>
        <w:rFonts w:ascii="Courier New" w:cs="Courier New" w:hAnsi="Courier New" w:hint="default"/>
      </w:rPr>
    </w:lvl>
    <w:lvl w:ilvl="2" w:tentative="1" w:tplc="040C0005">
      <w:start w:val="1"/>
      <w:numFmt w:val="bullet"/>
      <w:lvlText w:val=""/>
      <w:lvlJc w:val="left"/>
      <w:pPr>
        <w:tabs>
          <w:tab w:pos="2160" w:val="num"/>
        </w:tabs>
        <w:ind w:hanging="360" w:left="2160"/>
      </w:pPr>
      <w:rPr>
        <w:rFonts w:ascii="Wingdings" w:hAnsi="Wingdings" w:hint="default"/>
      </w:rPr>
    </w:lvl>
    <w:lvl w:ilvl="3" w:tentative="1" w:tplc="040C0001">
      <w:start w:val="1"/>
      <w:numFmt w:val="bullet"/>
      <w:lvlText w:val=""/>
      <w:lvlJc w:val="left"/>
      <w:pPr>
        <w:tabs>
          <w:tab w:pos="2880" w:val="num"/>
        </w:tabs>
        <w:ind w:hanging="360" w:left="2880"/>
      </w:pPr>
      <w:rPr>
        <w:rFonts w:ascii="Symbol" w:hAnsi="Symbol" w:hint="default"/>
      </w:rPr>
    </w:lvl>
    <w:lvl w:ilvl="4" w:tentative="1" w:tplc="040C0003">
      <w:start w:val="1"/>
      <w:numFmt w:val="bullet"/>
      <w:lvlText w:val="o"/>
      <w:lvlJc w:val="left"/>
      <w:pPr>
        <w:tabs>
          <w:tab w:pos="3600" w:val="num"/>
        </w:tabs>
        <w:ind w:hanging="360" w:left="3600"/>
      </w:pPr>
      <w:rPr>
        <w:rFonts w:ascii="Courier New" w:cs="Courier New" w:hAnsi="Courier New" w:hint="default"/>
      </w:rPr>
    </w:lvl>
    <w:lvl w:ilvl="5" w:tentative="1" w:tplc="040C0005">
      <w:start w:val="1"/>
      <w:numFmt w:val="bullet"/>
      <w:lvlText w:val=""/>
      <w:lvlJc w:val="left"/>
      <w:pPr>
        <w:tabs>
          <w:tab w:pos="4320" w:val="num"/>
        </w:tabs>
        <w:ind w:hanging="360" w:left="4320"/>
      </w:pPr>
      <w:rPr>
        <w:rFonts w:ascii="Wingdings" w:hAnsi="Wingdings" w:hint="default"/>
      </w:rPr>
    </w:lvl>
    <w:lvl w:ilvl="6" w:tentative="1" w:tplc="040C0001">
      <w:start w:val="1"/>
      <w:numFmt w:val="bullet"/>
      <w:lvlText w:val=""/>
      <w:lvlJc w:val="left"/>
      <w:pPr>
        <w:tabs>
          <w:tab w:pos="5040" w:val="num"/>
        </w:tabs>
        <w:ind w:hanging="360" w:left="5040"/>
      </w:pPr>
      <w:rPr>
        <w:rFonts w:ascii="Symbol" w:hAnsi="Symbol" w:hint="default"/>
      </w:rPr>
    </w:lvl>
    <w:lvl w:ilvl="7" w:tentative="1" w:tplc="040C0003">
      <w:start w:val="1"/>
      <w:numFmt w:val="bullet"/>
      <w:lvlText w:val="o"/>
      <w:lvlJc w:val="left"/>
      <w:pPr>
        <w:tabs>
          <w:tab w:pos="5760" w:val="num"/>
        </w:tabs>
        <w:ind w:hanging="360" w:left="5760"/>
      </w:pPr>
      <w:rPr>
        <w:rFonts w:ascii="Courier New" w:cs="Courier New" w:hAnsi="Courier New" w:hint="default"/>
      </w:rPr>
    </w:lvl>
    <w:lvl w:ilvl="8" w:tentative="1" w:tplc="040C0005">
      <w:start w:val="1"/>
      <w:numFmt w:val="bullet"/>
      <w:lvlText w:val=""/>
      <w:lvlJc w:val="left"/>
      <w:pPr>
        <w:tabs>
          <w:tab w:pos="6480" w:val="num"/>
        </w:tabs>
        <w:ind w:hanging="360" w:left="6480"/>
      </w:pPr>
      <w:rPr>
        <w:rFonts w:ascii="Wingdings" w:hAnsi="Wingdings" w:hint="default"/>
      </w:rPr>
    </w:lvl>
  </w:abstractNum>
  <w:abstractNum w15:restartNumberingAfterBreak="0" w:abstractNumId="20">
    <w:nsid w:val="228D40FC"/>
    <w:multiLevelType w:val="singleLevel"/>
    <w:tmpl w:val="04090001"/>
    <w:lvl w:ilvl="0">
      <w:start w:val="1"/>
      <w:numFmt w:val="bullet"/>
      <w:lvlText w:val=""/>
      <w:lvlJc w:val="left"/>
      <w:pPr>
        <w:tabs>
          <w:tab w:pos="360" w:val="num"/>
        </w:tabs>
        <w:ind w:hanging="360" w:left="360"/>
      </w:pPr>
      <w:rPr>
        <w:rFonts w:ascii="Symbol" w:hAnsi="Symbol" w:hint="default"/>
      </w:rPr>
    </w:lvl>
  </w:abstractNum>
  <w:abstractNum w15:restartNumberingAfterBreak="0" w:abstractNumId="21">
    <w:nsid w:val="3BE62FE5"/>
    <w:multiLevelType w:val="singleLevel"/>
    <w:tmpl w:val="04090001"/>
    <w:lvl w:ilvl="0">
      <w:start w:val="1"/>
      <w:numFmt w:val="bullet"/>
      <w:lvlText w:val=""/>
      <w:lvlJc w:val="left"/>
      <w:pPr>
        <w:tabs>
          <w:tab w:pos="360" w:val="num"/>
        </w:tabs>
        <w:ind w:hanging="360" w:left="360"/>
      </w:pPr>
      <w:rPr>
        <w:rFonts w:ascii="Symbol" w:hAnsi="Symbol" w:hint="default"/>
      </w:rPr>
    </w:lvl>
  </w:abstractNum>
  <w:abstractNum w15:restartNumberingAfterBreak="0" w:abstractNumId="22">
    <w:nsid w:val="570535DD"/>
    <w:multiLevelType w:val="hybridMultilevel"/>
    <w:tmpl w:val="78FE0DAE"/>
    <w:lvl w:ilvl="0" w:tplc="AAE8349C">
      <w:start w:val="1"/>
      <w:numFmt w:val="bullet"/>
      <w:lvlText w:val=""/>
      <w:lvlJc w:val="left"/>
      <w:pPr>
        <w:tabs>
          <w:tab w:pos="567" w:val="num"/>
        </w:tabs>
        <w:ind w:hanging="567" w:left="567"/>
      </w:pPr>
      <w:rPr>
        <w:rFonts w:ascii="Symbol" w:hAnsi="Symbol" w:hint="default"/>
      </w:rPr>
    </w:lvl>
    <w:lvl w:ilvl="1" w:tplc="10090003">
      <w:start w:val="1"/>
      <w:numFmt w:val="bullet"/>
      <w:lvlText w:val="o"/>
      <w:lvlJc w:val="left"/>
      <w:pPr>
        <w:tabs>
          <w:tab w:pos="1440" w:val="num"/>
        </w:tabs>
        <w:ind w:hanging="360" w:left="1440"/>
      </w:pPr>
      <w:rPr>
        <w:rFonts w:ascii="Courier New" w:cs="Courier New" w:hAnsi="Courier New" w:hint="default"/>
      </w:rPr>
    </w:lvl>
    <w:lvl w:ilvl="2" w:tentative="1" w:tplc="10090005">
      <w:start w:val="1"/>
      <w:numFmt w:val="bullet"/>
      <w:lvlText w:val=""/>
      <w:lvlJc w:val="left"/>
      <w:pPr>
        <w:tabs>
          <w:tab w:pos="2160" w:val="num"/>
        </w:tabs>
        <w:ind w:hanging="360" w:left="2160"/>
      </w:pPr>
      <w:rPr>
        <w:rFonts w:ascii="Wingdings" w:hAnsi="Wingdings" w:hint="default"/>
      </w:rPr>
    </w:lvl>
    <w:lvl w:ilvl="3" w:tentative="1" w:tplc="10090001">
      <w:start w:val="1"/>
      <w:numFmt w:val="bullet"/>
      <w:lvlText w:val=""/>
      <w:lvlJc w:val="left"/>
      <w:pPr>
        <w:tabs>
          <w:tab w:pos="2880" w:val="num"/>
        </w:tabs>
        <w:ind w:hanging="360" w:left="2880"/>
      </w:pPr>
      <w:rPr>
        <w:rFonts w:ascii="Symbol" w:hAnsi="Symbol" w:hint="default"/>
      </w:rPr>
    </w:lvl>
    <w:lvl w:ilvl="4" w:tentative="1" w:tplc="10090003">
      <w:start w:val="1"/>
      <w:numFmt w:val="bullet"/>
      <w:lvlText w:val="o"/>
      <w:lvlJc w:val="left"/>
      <w:pPr>
        <w:tabs>
          <w:tab w:pos="3600" w:val="num"/>
        </w:tabs>
        <w:ind w:hanging="360" w:left="3600"/>
      </w:pPr>
      <w:rPr>
        <w:rFonts w:ascii="Courier New" w:cs="Courier New" w:hAnsi="Courier New" w:hint="default"/>
      </w:rPr>
    </w:lvl>
    <w:lvl w:ilvl="5" w:tentative="1" w:tplc="10090005">
      <w:start w:val="1"/>
      <w:numFmt w:val="bullet"/>
      <w:lvlText w:val=""/>
      <w:lvlJc w:val="left"/>
      <w:pPr>
        <w:tabs>
          <w:tab w:pos="4320" w:val="num"/>
        </w:tabs>
        <w:ind w:hanging="360" w:left="4320"/>
      </w:pPr>
      <w:rPr>
        <w:rFonts w:ascii="Wingdings" w:hAnsi="Wingdings" w:hint="default"/>
      </w:rPr>
    </w:lvl>
    <w:lvl w:ilvl="6" w:tentative="1" w:tplc="10090001">
      <w:start w:val="1"/>
      <w:numFmt w:val="bullet"/>
      <w:lvlText w:val=""/>
      <w:lvlJc w:val="left"/>
      <w:pPr>
        <w:tabs>
          <w:tab w:pos="5040" w:val="num"/>
        </w:tabs>
        <w:ind w:hanging="360" w:left="5040"/>
      </w:pPr>
      <w:rPr>
        <w:rFonts w:ascii="Symbol" w:hAnsi="Symbol" w:hint="default"/>
      </w:rPr>
    </w:lvl>
    <w:lvl w:ilvl="7" w:tentative="1" w:tplc="10090003">
      <w:start w:val="1"/>
      <w:numFmt w:val="bullet"/>
      <w:lvlText w:val="o"/>
      <w:lvlJc w:val="left"/>
      <w:pPr>
        <w:tabs>
          <w:tab w:pos="5760" w:val="num"/>
        </w:tabs>
        <w:ind w:hanging="360" w:left="5760"/>
      </w:pPr>
      <w:rPr>
        <w:rFonts w:ascii="Courier New" w:cs="Courier New" w:hAnsi="Courier New" w:hint="default"/>
      </w:rPr>
    </w:lvl>
    <w:lvl w:ilvl="8" w:tentative="1" w:tplc="10090005">
      <w:start w:val="1"/>
      <w:numFmt w:val="bullet"/>
      <w:lvlText w:val=""/>
      <w:lvlJc w:val="left"/>
      <w:pPr>
        <w:tabs>
          <w:tab w:pos="6480" w:val="num"/>
        </w:tabs>
        <w:ind w:hanging="360" w:left="6480"/>
      </w:pPr>
      <w:rPr>
        <w:rFonts w:ascii="Wingdings" w:hAnsi="Wingdings" w:hint="default"/>
      </w:rPr>
    </w:lvl>
  </w:abstractNum>
  <w:abstractNum w15:restartNumberingAfterBreak="0" w:abstractNumId="23">
    <w:nsid w:val="628A010C"/>
    <w:multiLevelType w:val="hybridMultilevel"/>
    <w:tmpl w:val="8C90F688"/>
    <w:lvl w:ilvl="0" w:tplc="040C000B">
      <w:start w:val="1"/>
      <w:numFmt w:val="bullet"/>
      <w:lvlText w:val=""/>
      <w:lvlJc w:val="left"/>
      <w:pPr>
        <w:tabs>
          <w:tab w:pos="720" w:val="num"/>
        </w:tabs>
        <w:ind w:hanging="360" w:left="720"/>
      </w:pPr>
      <w:rPr>
        <w:rFonts w:ascii="Wingdings" w:hAnsi="Wingdings" w:hint="default"/>
      </w:rPr>
    </w:lvl>
    <w:lvl w:ilvl="1" w:tentative="1" w:tplc="040C0003">
      <w:start w:val="1"/>
      <w:numFmt w:val="bullet"/>
      <w:lvlText w:val="o"/>
      <w:lvlJc w:val="left"/>
      <w:pPr>
        <w:tabs>
          <w:tab w:pos="1440" w:val="num"/>
        </w:tabs>
        <w:ind w:hanging="360" w:left="1440"/>
      </w:pPr>
      <w:rPr>
        <w:rFonts w:ascii="Courier New" w:cs="Courier New" w:hAnsi="Courier New" w:hint="default"/>
      </w:rPr>
    </w:lvl>
    <w:lvl w:ilvl="2" w:tentative="1" w:tplc="040C0005">
      <w:start w:val="1"/>
      <w:numFmt w:val="bullet"/>
      <w:lvlText w:val=""/>
      <w:lvlJc w:val="left"/>
      <w:pPr>
        <w:tabs>
          <w:tab w:pos="2160" w:val="num"/>
        </w:tabs>
        <w:ind w:hanging="360" w:left="2160"/>
      </w:pPr>
      <w:rPr>
        <w:rFonts w:ascii="Wingdings" w:hAnsi="Wingdings" w:hint="default"/>
      </w:rPr>
    </w:lvl>
    <w:lvl w:ilvl="3" w:tentative="1" w:tplc="040C0001">
      <w:start w:val="1"/>
      <w:numFmt w:val="bullet"/>
      <w:lvlText w:val=""/>
      <w:lvlJc w:val="left"/>
      <w:pPr>
        <w:tabs>
          <w:tab w:pos="2880" w:val="num"/>
        </w:tabs>
        <w:ind w:hanging="360" w:left="2880"/>
      </w:pPr>
      <w:rPr>
        <w:rFonts w:ascii="Symbol" w:hAnsi="Symbol" w:hint="default"/>
      </w:rPr>
    </w:lvl>
    <w:lvl w:ilvl="4" w:tentative="1" w:tplc="040C0003">
      <w:start w:val="1"/>
      <w:numFmt w:val="bullet"/>
      <w:lvlText w:val="o"/>
      <w:lvlJc w:val="left"/>
      <w:pPr>
        <w:tabs>
          <w:tab w:pos="3600" w:val="num"/>
        </w:tabs>
        <w:ind w:hanging="360" w:left="3600"/>
      </w:pPr>
      <w:rPr>
        <w:rFonts w:ascii="Courier New" w:cs="Courier New" w:hAnsi="Courier New" w:hint="default"/>
      </w:rPr>
    </w:lvl>
    <w:lvl w:ilvl="5" w:tentative="1" w:tplc="040C0005">
      <w:start w:val="1"/>
      <w:numFmt w:val="bullet"/>
      <w:lvlText w:val=""/>
      <w:lvlJc w:val="left"/>
      <w:pPr>
        <w:tabs>
          <w:tab w:pos="4320" w:val="num"/>
        </w:tabs>
        <w:ind w:hanging="360" w:left="4320"/>
      </w:pPr>
      <w:rPr>
        <w:rFonts w:ascii="Wingdings" w:hAnsi="Wingdings" w:hint="default"/>
      </w:rPr>
    </w:lvl>
    <w:lvl w:ilvl="6" w:tentative="1" w:tplc="040C0001">
      <w:start w:val="1"/>
      <w:numFmt w:val="bullet"/>
      <w:lvlText w:val=""/>
      <w:lvlJc w:val="left"/>
      <w:pPr>
        <w:tabs>
          <w:tab w:pos="5040" w:val="num"/>
        </w:tabs>
        <w:ind w:hanging="360" w:left="5040"/>
      </w:pPr>
      <w:rPr>
        <w:rFonts w:ascii="Symbol" w:hAnsi="Symbol" w:hint="default"/>
      </w:rPr>
    </w:lvl>
    <w:lvl w:ilvl="7" w:tentative="1" w:tplc="040C0003">
      <w:start w:val="1"/>
      <w:numFmt w:val="bullet"/>
      <w:lvlText w:val="o"/>
      <w:lvlJc w:val="left"/>
      <w:pPr>
        <w:tabs>
          <w:tab w:pos="5760" w:val="num"/>
        </w:tabs>
        <w:ind w:hanging="360" w:left="5760"/>
      </w:pPr>
      <w:rPr>
        <w:rFonts w:ascii="Courier New" w:cs="Courier New" w:hAnsi="Courier New" w:hint="default"/>
      </w:rPr>
    </w:lvl>
    <w:lvl w:ilvl="8" w:tentative="1" w:tplc="040C0005">
      <w:start w:val="1"/>
      <w:numFmt w:val="bullet"/>
      <w:lvlText w:val=""/>
      <w:lvlJc w:val="left"/>
      <w:pPr>
        <w:tabs>
          <w:tab w:pos="6480" w:val="num"/>
        </w:tabs>
        <w:ind w:hanging="360" w:left="6480"/>
      </w:pPr>
      <w:rPr>
        <w:rFonts w:ascii="Wingdings" w:hAnsi="Wingdings" w:hint="default"/>
      </w:rPr>
    </w:lvl>
  </w:abstractNum>
  <w:abstractNum w15:restartNumberingAfterBreak="0" w:abstractNumId="24">
    <w:nsid w:val="6FDE7724"/>
    <w:multiLevelType w:val="hybridMultilevel"/>
    <w:tmpl w:val="C00AEBD2"/>
    <w:lvl w:ilvl="0" w:tplc="56A8D5D0">
      <w:start w:val="1"/>
      <w:numFmt w:val="bullet"/>
      <w:lvlText w:val=""/>
      <w:lvlJc w:val="left"/>
      <w:pPr>
        <w:tabs>
          <w:tab w:pos="360" w:val="num"/>
        </w:tabs>
        <w:ind w:hanging="360" w:left="360"/>
      </w:pPr>
      <w:rPr>
        <w:rFonts w:ascii="Wingdings" w:hAnsi="Wingdings" w:hint="default"/>
      </w:rPr>
    </w:lvl>
    <w:lvl w:ilvl="1" w:tentative="1" w:tplc="10090003">
      <w:start w:val="1"/>
      <w:numFmt w:val="bullet"/>
      <w:lvlText w:val="o"/>
      <w:lvlJc w:val="left"/>
      <w:pPr>
        <w:tabs>
          <w:tab w:pos="1080" w:val="num"/>
        </w:tabs>
        <w:ind w:hanging="360" w:left="1080"/>
      </w:pPr>
      <w:rPr>
        <w:rFonts w:ascii="Courier New" w:cs="Courier New" w:hAnsi="Courier New" w:hint="default"/>
      </w:rPr>
    </w:lvl>
    <w:lvl w:ilvl="2" w:tentative="1" w:tplc="10090005">
      <w:start w:val="1"/>
      <w:numFmt w:val="bullet"/>
      <w:lvlText w:val=""/>
      <w:lvlJc w:val="left"/>
      <w:pPr>
        <w:tabs>
          <w:tab w:pos="1800" w:val="num"/>
        </w:tabs>
        <w:ind w:hanging="360" w:left="1800"/>
      </w:pPr>
      <w:rPr>
        <w:rFonts w:ascii="Wingdings" w:hAnsi="Wingdings" w:hint="default"/>
      </w:rPr>
    </w:lvl>
    <w:lvl w:ilvl="3" w:tentative="1" w:tplc="10090001">
      <w:start w:val="1"/>
      <w:numFmt w:val="bullet"/>
      <w:lvlText w:val=""/>
      <w:lvlJc w:val="left"/>
      <w:pPr>
        <w:tabs>
          <w:tab w:pos="2520" w:val="num"/>
        </w:tabs>
        <w:ind w:hanging="360" w:left="2520"/>
      </w:pPr>
      <w:rPr>
        <w:rFonts w:ascii="Symbol" w:hAnsi="Symbol" w:hint="default"/>
      </w:rPr>
    </w:lvl>
    <w:lvl w:ilvl="4" w:tentative="1" w:tplc="10090003">
      <w:start w:val="1"/>
      <w:numFmt w:val="bullet"/>
      <w:lvlText w:val="o"/>
      <w:lvlJc w:val="left"/>
      <w:pPr>
        <w:tabs>
          <w:tab w:pos="3240" w:val="num"/>
        </w:tabs>
        <w:ind w:hanging="360" w:left="3240"/>
      </w:pPr>
      <w:rPr>
        <w:rFonts w:ascii="Courier New" w:cs="Courier New" w:hAnsi="Courier New" w:hint="default"/>
      </w:rPr>
    </w:lvl>
    <w:lvl w:ilvl="5" w:tentative="1" w:tplc="10090005">
      <w:start w:val="1"/>
      <w:numFmt w:val="bullet"/>
      <w:lvlText w:val=""/>
      <w:lvlJc w:val="left"/>
      <w:pPr>
        <w:tabs>
          <w:tab w:pos="3960" w:val="num"/>
        </w:tabs>
        <w:ind w:hanging="360" w:left="3960"/>
      </w:pPr>
      <w:rPr>
        <w:rFonts w:ascii="Wingdings" w:hAnsi="Wingdings" w:hint="default"/>
      </w:rPr>
    </w:lvl>
    <w:lvl w:ilvl="6" w:tentative="1" w:tplc="10090001">
      <w:start w:val="1"/>
      <w:numFmt w:val="bullet"/>
      <w:lvlText w:val=""/>
      <w:lvlJc w:val="left"/>
      <w:pPr>
        <w:tabs>
          <w:tab w:pos="4680" w:val="num"/>
        </w:tabs>
        <w:ind w:hanging="360" w:left="4680"/>
      </w:pPr>
      <w:rPr>
        <w:rFonts w:ascii="Symbol" w:hAnsi="Symbol" w:hint="default"/>
      </w:rPr>
    </w:lvl>
    <w:lvl w:ilvl="7" w:tentative="1" w:tplc="10090003">
      <w:start w:val="1"/>
      <w:numFmt w:val="bullet"/>
      <w:lvlText w:val="o"/>
      <w:lvlJc w:val="left"/>
      <w:pPr>
        <w:tabs>
          <w:tab w:pos="5400" w:val="num"/>
        </w:tabs>
        <w:ind w:hanging="360" w:left="5400"/>
      </w:pPr>
      <w:rPr>
        <w:rFonts w:ascii="Courier New" w:cs="Courier New" w:hAnsi="Courier New" w:hint="default"/>
      </w:rPr>
    </w:lvl>
    <w:lvl w:ilvl="8" w:tentative="1" w:tplc="10090005">
      <w:start w:val="1"/>
      <w:numFmt w:val="bullet"/>
      <w:lvlText w:val=""/>
      <w:lvlJc w:val="left"/>
      <w:pPr>
        <w:tabs>
          <w:tab w:pos="6120" w:val="num"/>
        </w:tabs>
        <w:ind w:hanging="360" w:left="6120"/>
      </w:pPr>
      <w:rPr>
        <w:rFonts w:ascii="Wingdings" w:hAnsi="Wingdings" w:hint="default"/>
      </w:rPr>
    </w:lvl>
  </w:abstractNum>
  <w:abstractNum w15:restartNumberingAfterBreak="0" w:abstractNumId="25">
    <w:nsid w:val="72916972"/>
    <w:multiLevelType w:val="multilevel"/>
    <w:tmpl w:val="C00AEBD2"/>
    <w:lvl w:ilvl="0">
      <w:start w:val="1"/>
      <w:numFmt w:val="bullet"/>
      <w:lvlText w:val=""/>
      <w:lvlJc w:val="left"/>
      <w:pPr>
        <w:tabs>
          <w:tab w:pos="360" w:val="num"/>
        </w:tabs>
        <w:ind w:hanging="360" w:left="360"/>
      </w:pPr>
      <w:rPr>
        <w:rFonts w:ascii="Wingdings" w:hAnsi="Wingdings" w:hint="default"/>
      </w:rPr>
    </w:lvl>
    <w:lvl w:ilvl="1">
      <w:start w:val="1"/>
      <w:numFmt w:val="bullet"/>
      <w:lvlText w:val="o"/>
      <w:lvlJc w:val="left"/>
      <w:pPr>
        <w:tabs>
          <w:tab w:pos="1080" w:val="num"/>
        </w:tabs>
        <w:ind w:hanging="360" w:left="1080"/>
      </w:pPr>
      <w:rPr>
        <w:rFonts w:ascii="Courier New" w:cs="Courier New" w:hAnsi="Courier New" w:hint="default"/>
      </w:rPr>
    </w:lvl>
    <w:lvl w:ilvl="2">
      <w:start w:val="1"/>
      <w:numFmt w:val="bullet"/>
      <w:lvlText w:val=""/>
      <w:lvlJc w:val="left"/>
      <w:pPr>
        <w:tabs>
          <w:tab w:pos="1800" w:val="num"/>
        </w:tabs>
        <w:ind w:hanging="360" w:left="1800"/>
      </w:pPr>
      <w:rPr>
        <w:rFonts w:ascii="Wingdings" w:hAnsi="Wingdings" w:hint="default"/>
      </w:rPr>
    </w:lvl>
    <w:lvl w:ilvl="3">
      <w:start w:val="1"/>
      <w:numFmt w:val="bullet"/>
      <w:lvlText w:val=""/>
      <w:lvlJc w:val="left"/>
      <w:pPr>
        <w:tabs>
          <w:tab w:pos="2520" w:val="num"/>
        </w:tabs>
        <w:ind w:hanging="360" w:left="2520"/>
      </w:pPr>
      <w:rPr>
        <w:rFonts w:ascii="Symbol" w:hAnsi="Symbol" w:hint="default"/>
      </w:rPr>
    </w:lvl>
    <w:lvl w:ilvl="4">
      <w:start w:val="1"/>
      <w:numFmt w:val="bullet"/>
      <w:lvlText w:val="o"/>
      <w:lvlJc w:val="left"/>
      <w:pPr>
        <w:tabs>
          <w:tab w:pos="3240" w:val="num"/>
        </w:tabs>
        <w:ind w:hanging="360" w:left="3240"/>
      </w:pPr>
      <w:rPr>
        <w:rFonts w:ascii="Courier New" w:cs="Courier New" w:hAnsi="Courier New" w:hint="default"/>
      </w:rPr>
    </w:lvl>
    <w:lvl w:ilvl="5">
      <w:start w:val="1"/>
      <w:numFmt w:val="bullet"/>
      <w:lvlText w:val=""/>
      <w:lvlJc w:val="left"/>
      <w:pPr>
        <w:tabs>
          <w:tab w:pos="3960" w:val="num"/>
        </w:tabs>
        <w:ind w:hanging="360" w:left="3960"/>
      </w:pPr>
      <w:rPr>
        <w:rFonts w:ascii="Wingdings" w:hAnsi="Wingdings" w:hint="default"/>
      </w:rPr>
    </w:lvl>
    <w:lvl w:ilvl="6">
      <w:start w:val="1"/>
      <w:numFmt w:val="bullet"/>
      <w:lvlText w:val=""/>
      <w:lvlJc w:val="left"/>
      <w:pPr>
        <w:tabs>
          <w:tab w:pos="4680" w:val="num"/>
        </w:tabs>
        <w:ind w:hanging="360" w:left="4680"/>
      </w:pPr>
      <w:rPr>
        <w:rFonts w:ascii="Symbol" w:hAnsi="Symbol" w:hint="default"/>
      </w:rPr>
    </w:lvl>
    <w:lvl w:ilvl="7">
      <w:start w:val="1"/>
      <w:numFmt w:val="bullet"/>
      <w:lvlText w:val="o"/>
      <w:lvlJc w:val="left"/>
      <w:pPr>
        <w:tabs>
          <w:tab w:pos="5400" w:val="num"/>
        </w:tabs>
        <w:ind w:hanging="360" w:left="5400"/>
      </w:pPr>
      <w:rPr>
        <w:rFonts w:ascii="Courier New" w:cs="Courier New" w:hAnsi="Courier New" w:hint="default"/>
      </w:rPr>
    </w:lvl>
    <w:lvl w:ilvl="8">
      <w:start w:val="1"/>
      <w:numFmt w:val="bullet"/>
      <w:lvlText w:val=""/>
      <w:lvlJc w:val="left"/>
      <w:pPr>
        <w:tabs>
          <w:tab w:pos="6120" w:val="num"/>
        </w:tabs>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lvlOverride w:ilvl="0">
      <w:lvl w:ilvl="0">
        <w:start w:val="1"/>
        <w:numFmt w:val="bullet"/>
        <w:lvlText w:val=""/>
        <w:legacy w:legacy="1" w:legacyIndent="360" w:legacySpace="0"/>
        <w:lvlJc w:val="left"/>
        <w:pPr>
          <w:ind w:hanging="360" w:left="360"/>
        </w:pPr>
        <w:rPr>
          <w:rFonts w:ascii="Symbol" w:hAnsi="Symbol" w:hint="default"/>
        </w:rPr>
      </w:lvl>
    </w:lvlOverride>
  </w:num>
  <w:num w:numId="2">
    <w:abstractNumId w:val="20"/>
  </w:num>
  <w:num w:numId="3">
    <w:abstractNumId w:val="21"/>
  </w:num>
  <w:num w:numId="4">
    <w:abstractNumId w:val="14"/>
  </w:num>
  <w:num w:numId="5">
    <w:abstractNumId w:val="16"/>
  </w:num>
  <w:num w:numId="6">
    <w:abstractNumId w:val="12"/>
  </w:num>
  <w:num w:numId="7">
    <w:abstractNumId w:val="17"/>
  </w:num>
  <w:num w:numId="8">
    <w:abstractNumId w:val="13"/>
  </w:num>
  <w:num w:numId="9">
    <w:abstractNumId w:val="19"/>
  </w:num>
  <w:num w:numId="10">
    <w:abstractNumId w:val="23"/>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1"/>
  </w:num>
  <w:num w:numId="22">
    <w:abstractNumId w:val="15"/>
  </w:num>
  <w:num w:numId="23">
    <w:abstractNumId w:val="24"/>
  </w:num>
  <w:num w:numId="24">
    <w:abstractNumId w:val="25"/>
  </w:num>
  <w:num w:numId="25">
    <w:abstractNumId w:val="18"/>
  </w:num>
  <w:num w:numId="26">
    <w:abstractNumId w:val="22"/>
  </w:num>
  <w:num w:numId="27">
    <w:abstractNumId w:val="22"/>
  </w:num>
  <w:num w:numId="28">
    <w:abstractNumId w:val="9"/>
  </w:num>
  <w:num w:numId="29">
    <w:abstractNumId w:val="7"/>
  </w:num>
  <w:num w:numId="30">
    <w:abstractNumId w:val="8"/>
  </w:num>
  <w:num w:numId="31">
    <w:abstractNumId w:val="3"/>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savePreviewPicture/>
  <w:rsids>
  </w:rsids>
  <w:clrSchemeMapping w:accent1="accent1" w:accent2="accent2" w:accent3="accent3" w:accent4="accent4" w:accent5="accent5" w:accent6="accent6" w:bg1="light1" w:bg2="light2" w:followedHyperlink="followedHyperlink" w:hyperlink="hyperlink" w:t1="dark1" w:t2="dark2"/>
  <w:zoom w:percent="100"/>
  <w:proofState w:spelling="clean"/>
  <w:defaultTabStop w:val="720"/>
  <w:hyphenationZone w:val="425"/>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C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cs="Times New Roman" w:eastAsia="Times New Roman" w:hAnsi="Times New Roman"/>
        <w:lang w:bidi="ar-SA" w:eastAsia="en-CA" w:val="en-CA"/>
      </w:rPr>
    </w:rPrDefault>
    <w:pPrDefault/>
  </w:docDefaults>
  <w:latentStyles w:count="371" w:defLockedState="0" w:defQFormat="0" w:defSemiHidden="0" w:defUIPriority="99" w:defUnhideWhenUsed="0">
    <w:lsdException w:name="Normal" w:uiPriority="0"/>
    <w:lsdException w:name="heading 1" w:qFormat="1" w:uiPriority="0"/>
    <w:lsdException w:name="heading 2" w:qFormat="1" w:uiPriority="0"/>
    <w:lsdException w:name="heading 3" w:qFormat="1" w:uiPriority="0"/>
    <w:lsdException w:name="heading 4" w:qFormat="1" w:uiPriority="0"/>
    <w:lsdException w:name="heading 5" w:qFormat="1" w:uiPriority="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qFormat="1"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qFormat="1"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semiHidden="1" w:unhideWhenUsed="1"/>
    <w:lsdException w:name="FollowedHyperlink" w:semiHidden="1" w:uiPriority="0"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rsid w:val="008602A3"/>
    <w:rPr>
      <w:rFonts w:ascii="Arial" w:hAnsi="Arial"/>
      <w:sz w:val="22"/>
      <w:lang w:eastAsia="en-US" w:val="en-US"/>
    </w:rPr>
  </w:style>
  <w:style w:styleId="Heading1" w:type="paragraph">
    <w:name w:val="heading 1"/>
    <w:basedOn w:val="Normal"/>
    <w:next w:val="Normal"/>
    <w:link w:val="Heading1Char"/>
    <w:autoRedefine/>
    <w:qFormat/>
    <w:rsid w:val="004C3258"/>
    <w:pPr>
      <w:keepNext/>
      <w:spacing w:after="120" w:before="240"/>
      <w:jc w:val="center"/>
      <w:outlineLvl w:val="0"/>
    </w:pPr>
    <w:rPr>
      <w:rFonts w:ascii="Arial Bold" w:hAnsi="Arial Bold"/>
      <w:b/>
      <w:caps/>
      <w:sz w:val="32"/>
      <w:szCs w:val="24"/>
      <w:lang w:val="en-CA"/>
    </w:rPr>
  </w:style>
  <w:style w:styleId="Heading2" w:type="paragraph">
    <w:name w:val="heading 2"/>
    <w:basedOn w:val="Normal"/>
    <w:next w:val="Normal"/>
    <w:link w:val="Heading2Char"/>
    <w:autoRedefine/>
    <w:qFormat/>
    <w:rsid w:val="002B4025"/>
    <w:pPr>
      <w:keepNext/>
      <w:spacing w:after="120" w:before="240"/>
      <w:jc w:val="center"/>
      <w:outlineLvl w:val="1"/>
    </w:pPr>
    <w:rPr>
      <w:b/>
      <w:sz w:val="28"/>
      <w:szCs w:val="24"/>
      <w:lang w:val="en-CA"/>
    </w:rPr>
  </w:style>
  <w:style w:styleId="Heading3" w:type="paragraph">
    <w:name w:val="heading 3"/>
    <w:basedOn w:val="Normal"/>
    <w:next w:val="Normal"/>
    <w:link w:val="Heading3Char"/>
    <w:autoRedefine/>
    <w:qFormat/>
    <w:rsid w:val="00E05820"/>
    <w:pPr>
      <w:keepNext/>
      <w:spacing w:after="120" w:before="240"/>
      <w:contextualSpacing/>
      <w:outlineLvl w:val="2"/>
    </w:pPr>
    <w:rPr>
      <w:b/>
      <w:sz w:val="24"/>
      <w:szCs w:val="22"/>
      <w:lang w:val="en-CA"/>
    </w:rPr>
  </w:style>
  <w:style w:styleId="Heading4" w:type="paragraph">
    <w:name w:val="heading 4"/>
    <w:basedOn w:val="Normal"/>
    <w:next w:val="Normal"/>
    <w:link w:val="Heading4Char"/>
    <w:autoRedefine/>
    <w:qFormat/>
    <w:rsid w:val="00E05820"/>
    <w:pPr>
      <w:keepNext/>
      <w:spacing w:after="120" w:before="120"/>
      <w:ind w:left="360"/>
      <w:outlineLvl w:val="3"/>
    </w:pPr>
    <w:rPr>
      <w:b/>
      <w:bCs/>
      <w:szCs w:val="28"/>
      <w:lang w:val="en-CA"/>
    </w:rPr>
  </w:style>
  <w:style w:styleId="Heading5" w:type="paragraph">
    <w:name w:val="heading 5"/>
    <w:basedOn w:val="Normal"/>
    <w:next w:val="Normal"/>
    <w:link w:val="Heading5Char"/>
    <w:qFormat/>
    <w:rsid w:val="003C66FB"/>
    <w:pPr>
      <w:keepNext/>
      <w:spacing w:after="120" w:before="120"/>
      <w:ind w:left="720"/>
      <w:outlineLvl w:val="4"/>
    </w:pPr>
    <w:rPr>
      <w:i/>
    </w:rPr>
  </w:style>
  <w:style w:styleId="Heading6" w:type="paragraph">
    <w:name w:val="heading 6"/>
    <w:basedOn w:val="Normal"/>
    <w:next w:val="Normal"/>
    <w:link w:val="Heading6Char"/>
    <w:uiPriority w:val="9"/>
    <w:semiHidden/>
    <w:unhideWhenUsed/>
    <w:qFormat/>
    <w:rsid w:val="00E13E29"/>
    <w:pPr>
      <w:keepNext/>
      <w:keepLines/>
      <w:spacing w:before="200"/>
      <w:outlineLvl w:val="5"/>
    </w:pPr>
    <w:rPr>
      <w:rFonts w:asciiTheme="majorHAnsi" w:cstheme="majorBidi" w:eastAsiaTheme="majorEastAsia" w:hAnsiTheme="majorHAnsi"/>
      <w:i/>
      <w:iCs/>
      <w:color w:themeColor="accent1" w:themeShade="7F" w:val="243F6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 w:type="paragraph">
    <w:name w:val="List"/>
    <w:basedOn w:val="Normal"/>
    <w:uiPriority w:val="99"/>
    <w:semiHidden/>
    <w:unhideWhenUsed/>
    <w:qFormat/>
    <w:rsid w:val="00491331"/>
    <w:pPr>
      <w:ind w:hanging="283" w:left="283"/>
      <w:contextualSpacing/>
    </w:pPr>
  </w:style>
  <w:style w:styleId="Header" w:type="paragraph">
    <w:name w:val="header"/>
    <w:basedOn w:val="Normal"/>
    <w:link w:val="HeaderChar"/>
    <w:uiPriority w:val="99"/>
    <w:unhideWhenUsed/>
    <w:rsid w:val="003C66FB"/>
    <w:pPr>
      <w:tabs>
        <w:tab w:pos="4680" w:val="center"/>
        <w:tab w:pos="9360" w:val="right"/>
      </w:tabs>
    </w:pPr>
  </w:style>
  <w:style w:styleId="PageNumber" w:type="character">
    <w:name w:val="page number"/>
    <w:rsid w:val="008602A3"/>
    <w:rPr>
      <w:rFonts w:ascii="Arial" w:hAnsi="Arial"/>
      <w:sz w:val="20"/>
    </w:rPr>
  </w:style>
  <w:style w:styleId="EndnoteText" w:type="paragraph">
    <w:name w:val="endnote text"/>
    <w:basedOn w:val="Normal"/>
    <w:semiHidden/>
    <w:rsid w:val="00CB3E5F"/>
    <w:rPr>
      <w:rFonts w:ascii="Courier New" w:hAnsi="Courier New"/>
      <w:sz w:val="24"/>
    </w:rPr>
  </w:style>
  <w:style w:styleId="ListBullet2" w:type="paragraph">
    <w:name w:val="List Bullet 2"/>
    <w:basedOn w:val="Normal"/>
    <w:unhideWhenUsed/>
    <w:rsid w:val="003C66FB"/>
    <w:pPr>
      <w:numPr>
        <w:numId w:val="29"/>
      </w:numPr>
      <w:spacing w:after="120"/>
      <w:ind w:left="720"/>
      <w:contextualSpacing/>
    </w:pPr>
  </w:style>
  <w:style w:styleId="BalloonText" w:type="paragraph">
    <w:name w:val="Balloon Text"/>
    <w:basedOn w:val="Normal"/>
    <w:link w:val="BalloonTextChar"/>
    <w:uiPriority w:val="99"/>
    <w:semiHidden/>
    <w:unhideWhenUsed/>
    <w:rsid w:val="002C77BF"/>
    <w:rPr>
      <w:rFonts w:ascii="Tahoma" w:cs="Tahoma" w:hAnsi="Tahoma"/>
      <w:sz w:val="16"/>
      <w:szCs w:val="16"/>
    </w:rPr>
  </w:style>
  <w:style w:styleId="Hyperlink" w:type="character">
    <w:name w:val="Hyperlink"/>
    <w:uiPriority w:val="99"/>
    <w:qFormat/>
    <w:rsid w:val="008602A3"/>
    <w:rPr>
      <w:rFonts w:ascii="Arial" w:hAnsi="Arial"/>
      <w:color w:val="0000FF"/>
      <w:sz w:val="22"/>
      <w:u w:val="single"/>
    </w:rPr>
  </w:style>
  <w:style w:styleId="FollowedHyperlink" w:type="character">
    <w:name w:val="FollowedHyperlink"/>
    <w:rsid w:val="008602A3"/>
    <w:rPr>
      <w:rFonts w:ascii="Arial" w:hAnsi="Arial"/>
      <w:color w:val="800080"/>
      <w:sz w:val="22"/>
      <w:u w:val="single"/>
    </w:rPr>
  </w:style>
  <w:style w:customStyle="1" w:styleId="Heading2Char" w:type="character">
    <w:name w:val="Heading 2 Char"/>
    <w:basedOn w:val="DefaultParagraphFont"/>
    <w:link w:val="Heading2"/>
    <w:rsid w:val="002B4025"/>
    <w:rPr>
      <w:rFonts w:ascii="Arial" w:hAnsi="Arial"/>
      <w:b/>
      <w:sz w:val="28"/>
      <w:szCs w:val="24"/>
      <w:lang w:eastAsia="en-US"/>
    </w:rPr>
  </w:style>
  <w:style w:styleId="BodyText" w:type="paragraph">
    <w:name w:val="Body Text"/>
    <w:basedOn w:val="Normal"/>
    <w:link w:val="BodyTextChar"/>
    <w:qFormat/>
    <w:rsid w:val="008602A3"/>
    <w:pPr>
      <w:spacing w:after="120" w:before="120"/>
    </w:pPr>
  </w:style>
  <w:style w:customStyle="1" w:styleId="BalloonTextChar" w:type="character">
    <w:name w:val="Balloon Text Char"/>
    <w:basedOn w:val="DefaultParagraphFont"/>
    <w:link w:val="BalloonText"/>
    <w:uiPriority w:val="99"/>
    <w:semiHidden/>
    <w:rsid w:val="002C77BF"/>
    <w:rPr>
      <w:rFonts w:ascii="Tahoma" w:cs="Tahoma" w:hAnsi="Tahoma"/>
      <w:sz w:val="16"/>
      <w:szCs w:val="16"/>
      <w:lang w:eastAsia="en-US" w:val="en-US"/>
    </w:rPr>
  </w:style>
  <w:style w:styleId="TableGrid" w:type="table">
    <w:name w:val="Table Grid"/>
    <w:basedOn w:val="TableNormal"/>
    <w:rsid w:val="008602A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BodyTextItalic" w:type="paragraph">
    <w:name w:val="Body Text + Italic"/>
    <w:basedOn w:val="BodyText"/>
    <w:rsid w:val="008602A3"/>
    <w:rPr>
      <w:i/>
      <w:lang w:val="fr-CA"/>
    </w:rPr>
  </w:style>
  <w:style w:customStyle="1" w:styleId="BodyText-Centered" w:type="paragraph">
    <w:name w:val="Body Text - Centered"/>
    <w:basedOn w:val="BodyText"/>
    <w:rsid w:val="00AD3305"/>
    <w:pPr>
      <w:jc w:val="center"/>
    </w:pPr>
  </w:style>
  <w:style w:styleId="ListBullet" w:type="paragraph">
    <w:name w:val="List Bullet"/>
    <w:basedOn w:val="Normal"/>
    <w:rsid w:val="008602A3"/>
    <w:pPr>
      <w:numPr>
        <w:numId w:val="28"/>
      </w:numPr>
      <w:spacing w:after="120"/>
    </w:pPr>
  </w:style>
  <w:style w:customStyle="1" w:styleId="citation" w:type="paragraph">
    <w:name w:val="citation"/>
    <w:basedOn w:val="Normal"/>
    <w:qFormat/>
    <w:rsid w:val="008602A3"/>
    <w:pPr>
      <w:keepLines/>
      <w:spacing w:after="120" w:before="120"/>
      <w:ind w:hanging="360" w:left="360"/>
    </w:pPr>
    <w:rPr>
      <w:szCs w:val="22"/>
      <w:lang w:val="en-CA"/>
    </w:rPr>
  </w:style>
  <w:style w:customStyle="1" w:styleId="HeaderChar" w:type="character">
    <w:name w:val="Header Char"/>
    <w:basedOn w:val="DefaultParagraphFont"/>
    <w:link w:val="Header"/>
    <w:uiPriority w:val="99"/>
    <w:rsid w:val="003C66FB"/>
    <w:rPr>
      <w:rFonts w:ascii="Arial" w:hAnsi="Arial"/>
      <w:sz w:val="22"/>
      <w:lang w:eastAsia="en-US" w:val="en-US"/>
    </w:rPr>
  </w:style>
  <w:style w:styleId="Footer" w:type="paragraph">
    <w:name w:val="footer"/>
    <w:basedOn w:val="Normal"/>
    <w:link w:val="FooterChar"/>
    <w:uiPriority w:val="99"/>
    <w:unhideWhenUsed/>
    <w:qFormat/>
    <w:rsid w:val="003C66FB"/>
    <w:pPr>
      <w:tabs>
        <w:tab w:pos="4680" w:val="center"/>
        <w:tab w:pos="9360" w:val="right"/>
      </w:tabs>
    </w:pPr>
  </w:style>
  <w:style w:customStyle="1" w:styleId="BodyTextChar" w:type="character">
    <w:name w:val="Body Text Char"/>
    <w:basedOn w:val="DefaultParagraphFont"/>
    <w:link w:val="BodyText"/>
    <w:rsid w:val="008602A3"/>
    <w:rPr>
      <w:rFonts w:ascii="Arial" w:hAnsi="Arial"/>
      <w:sz w:val="22"/>
      <w:lang w:eastAsia="en-US" w:val="en-US"/>
    </w:rPr>
  </w:style>
  <w:style w:customStyle="1" w:styleId="FooterChar" w:type="character">
    <w:name w:val="Footer Char"/>
    <w:basedOn w:val="DefaultParagraphFont"/>
    <w:link w:val="Footer"/>
    <w:uiPriority w:val="99"/>
    <w:rsid w:val="003C66FB"/>
    <w:rPr>
      <w:rFonts w:ascii="Arial" w:hAnsi="Arial"/>
      <w:sz w:val="22"/>
      <w:lang w:eastAsia="en-US" w:val="en-US"/>
    </w:rPr>
  </w:style>
  <w:style w:customStyle="1" w:styleId="Heading6Char" w:type="character">
    <w:name w:val="Heading 6 Char"/>
    <w:basedOn w:val="DefaultParagraphFont"/>
    <w:link w:val="Heading6"/>
    <w:uiPriority w:val="9"/>
    <w:semiHidden/>
    <w:rsid w:val="00E13E29"/>
    <w:rPr>
      <w:rFonts w:asciiTheme="majorHAnsi" w:cstheme="majorBidi" w:eastAsiaTheme="majorEastAsia" w:hAnsiTheme="majorHAnsi"/>
      <w:i/>
      <w:iCs/>
      <w:color w:themeColor="accent1" w:themeShade="7F" w:val="243F60"/>
      <w:sz w:val="22"/>
      <w:lang w:eastAsia="en-US" w:val="en-US"/>
    </w:rPr>
  </w:style>
  <w:style w:styleId="ListNumber" w:type="paragraph">
    <w:name w:val="List Number"/>
    <w:basedOn w:val="Normal"/>
    <w:unhideWhenUsed/>
    <w:rsid w:val="008602A3"/>
    <w:pPr>
      <w:numPr>
        <w:numId w:val="30"/>
      </w:numPr>
      <w:spacing w:after="120"/>
    </w:pPr>
  </w:style>
  <w:style w:styleId="ListNumber2" w:type="paragraph">
    <w:name w:val="List Number 2"/>
    <w:basedOn w:val="Normal"/>
    <w:unhideWhenUsed/>
    <w:rsid w:val="003C66FB"/>
    <w:pPr>
      <w:numPr>
        <w:numId w:val="31"/>
      </w:numPr>
      <w:spacing w:after="120"/>
      <w:ind w:left="720"/>
    </w:pPr>
  </w:style>
  <w:style w:styleId="FootnoteText" w:type="paragraph">
    <w:name w:val="footnote text"/>
    <w:basedOn w:val="Normal"/>
    <w:link w:val="FootnoteTextChar"/>
    <w:uiPriority w:val="99"/>
    <w:semiHidden/>
    <w:unhideWhenUsed/>
    <w:rsid w:val="008602A3"/>
    <w:rPr>
      <w:sz w:val="20"/>
    </w:rPr>
  </w:style>
  <w:style w:customStyle="1" w:styleId="FootnoteTextChar" w:type="character">
    <w:name w:val="Footnote Text Char"/>
    <w:basedOn w:val="DefaultParagraphFont"/>
    <w:link w:val="FootnoteText"/>
    <w:uiPriority w:val="99"/>
    <w:semiHidden/>
    <w:rsid w:val="008602A3"/>
    <w:rPr>
      <w:rFonts w:ascii="Arial" w:hAnsi="Arial"/>
      <w:lang w:eastAsia="en-US" w:val="en-US"/>
    </w:rPr>
  </w:style>
  <w:style w:styleId="FootnoteReference" w:type="character">
    <w:name w:val="footnote reference"/>
    <w:basedOn w:val="DefaultParagraphFont"/>
    <w:uiPriority w:val="99"/>
    <w:semiHidden/>
    <w:unhideWhenUsed/>
    <w:rsid w:val="008602A3"/>
    <w:rPr>
      <w:vertAlign w:val="superscript"/>
    </w:rPr>
  </w:style>
  <w:style w:customStyle="1" w:styleId="Heading1Char" w:type="character">
    <w:name w:val="Heading 1 Char"/>
    <w:basedOn w:val="DefaultParagraphFont"/>
    <w:link w:val="Heading1"/>
    <w:rsid w:val="004C3258"/>
    <w:rPr>
      <w:rFonts w:ascii="Arial Bold" w:hAnsi="Arial Bold"/>
      <w:b/>
      <w:caps/>
      <w:sz w:val="32"/>
      <w:szCs w:val="24"/>
      <w:lang w:eastAsia="en-US"/>
    </w:rPr>
  </w:style>
  <w:style w:customStyle="1" w:styleId="Heading3Char" w:type="character">
    <w:name w:val="Heading 3 Char"/>
    <w:basedOn w:val="DefaultParagraphFont"/>
    <w:link w:val="Heading3"/>
    <w:rsid w:val="00E05820"/>
    <w:rPr>
      <w:rFonts w:ascii="Arial" w:hAnsi="Arial"/>
      <w:b/>
      <w:sz w:val="24"/>
      <w:szCs w:val="22"/>
      <w:lang w:eastAsia="en-US"/>
    </w:rPr>
  </w:style>
  <w:style w:customStyle="1" w:styleId="Heading4Char" w:type="character">
    <w:name w:val="Heading 4 Char"/>
    <w:basedOn w:val="DefaultParagraphFont"/>
    <w:link w:val="Heading4"/>
    <w:rsid w:val="00E05820"/>
    <w:rPr>
      <w:rFonts w:ascii="Arial" w:hAnsi="Arial"/>
      <w:b/>
      <w:bCs/>
      <w:sz w:val="22"/>
      <w:szCs w:val="28"/>
      <w:lang w:eastAsia="en-US"/>
    </w:rPr>
  </w:style>
  <w:style w:customStyle="1" w:styleId="Heading5Char" w:type="character">
    <w:name w:val="Heading 5 Char"/>
    <w:basedOn w:val="DefaultParagraphFont"/>
    <w:link w:val="Heading5"/>
    <w:rsid w:val="003C66FB"/>
    <w:rPr>
      <w:rFonts w:ascii="Arial" w:hAnsi="Arial"/>
      <w:i/>
      <w:sz w:val="22"/>
      <w:lang w:eastAsia="en-US" w:val="en-US"/>
    </w:rPr>
  </w:style>
  <w:style w:customStyle="1" w:styleId="CoverPageHeaderCSAS" w:type="paragraph">
    <w:name w:val="Cover Page: Header (CSAS)"/>
    <w:basedOn w:val="BodyText"/>
    <w:link w:val="CoverPageHeaderCSASChar"/>
    <w:rsid w:val="008602A3"/>
    <w:pPr>
      <w:tabs>
        <w:tab w:pos="9356" w:val="right"/>
      </w:tabs>
      <w:spacing w:after="0"/>
    </w:pPr>
    <w:rPr>
      <w:b/>
    </w:rPr>
  </w:style>
  <w:style w:customStyle="1" w:styleId="CoverPageHeaderCSASChar" w:type="character">
    <w:name w:val="Cover Page: Header (CSAS) Char"/>
    <w:basedOn w:val="BodyTextChar"/>
    <w:link w:val="CoverPageHeaderCSAS"/>
    <w:rsid w:val="008602A3"/>
    <w:rPr>
      <w:rFonts w:ascii="Arial" w:hAnsi="Arial"/>
      <w:b/>
      <w:sz w:val="22"/>
      <w:lang w:eastAsia="en-US" w:val="en-US"/>
    </w:rPr>
  </w:style>
  <w:style w:customStyle="1" w:styleId="CoverPageHeaderregions" w:type="paragraph">
    <w:name w:val="Cover Page: Header (region(s)"/>
    <w:aliases w:val="series,number)"/>
    <w:basedOn w:val="Normal"/>
    <w:rsid w:val="008602A3"/>
    <w:pPr>
      <w:pBdr>
        <w:bottom w:color="auto" w:space="1" w:sz="4" w:val="single"/>
      </w:pBdr>
      <w:tabs>
        <w:tab w:pos="9356" w:val="right"/>
      </w:tabs>
    </w:pPr>
    <w:rPr>
      <w:b/>
    </w:rPr>
  </w:style>
  <w:style w:customStyle="1" w:styleId="Caption-Table" w:type="paragraph">
    <w:name w:val="Caption - Table"/>
    <w:basedOn w:val="Normal"/>
    <w:qFormat/>
    <w:rsid w:val="008602A3"/>
    <w:pPr>
      <w:keepNext/>
      <w:spacing w:after="120" w:before="240"/>
    </w:pPr>
    <w:rPr>
      <w:i/>
      <w:sz w:val="20"/>
      <w:lang w:val="en-CA"/>
    </w:rPr>
  </w:style>
  <w:style w:customStyle="1" w:styleId="Caption-Figure" w:type="paragraph">
    <w:name w:val="Caption - Figure"/>
    <w:basedOn w:val="Normal"/>
    <w:qFormat/>
    <w:rsid w:val="008602A3"/>
    <w:pPr>
      <w:spacing w:after="240" w:before="120"/>
    </w:pPr>
    <w:rPr>
      <w:i/>
      <w:sz w:val="20"/>
    </w:rPr>
  </w:style>
  <w:style w:customStyle="1" w:styleId="Blockquote" w:type="paragraph">
    <w:name w:val="Blockquote"/>
    <w:basedOn w:val="Normal"/>
    <w:rsid w:val="008602A3"/>
    <w:pPr>
      <w:spacing w:after="120" w:before="120"/>
      <w:ind w:left="720"/>
    </w:pPr>
  </w:style>
  <w:style w:customStyle="1" w:styleId="BodyTextBold" w:type="paragraph">
    <w:name w:val="Body Text + Bold"/>
    <w:basedOn w:val="BodyText"/>
    <w:rsid w:val="008602A3"/>
    <w:rPr>
      <w:b/>
    </w:rPr>
  </w:style>
  <w:style w:customStyle="1" w:styleId="BodyTextBoldItallics" w:type="paragraph">
    <w:name w:val="Body Text + Bold + Itallics"/>
    <w:basedOn w:val="BodyText"/>
    <w:rsid w:val="008602A3"/>
    <w:rPr>
      <w:b/>
      <w:i/>
    </w:rPr>
  </w:style>
  <w:style w:customStyle="1" w:styleId="BodyTextCentered" w:type="paragraph">
    <w:name w:val="Body Text + Centered"/>
    <w:basedOn w:val="BodyText"/>
    <w:rsid w:val="008602A3"/>
    <w:pPr>
      <w:jc w:val="center"/>
    </w:pPr>
  </w:style>
  <w:style w:customStyle="1" w:styleId="citation-translated" w:type="paragraph">
    <w:name w:val="citation - translated"/>
    <w:basedOn w:val="citation"/>
    <w:qFormat/>
    <w:rsid w:val="008602A3"/>
    <w:rPr>
      <w:i/>
    </w:rPr>
  </w:style>
  <w:style w:styleId="CommentText" w:type="paragraph">
    <w:name w:val="annotation text"/>
    <w:basedOn w:val="Normal"/>
    <w:link w:val="CommentTextChar"/>
    <w:uiPriority w:val="99"/>
    <w:semiHidden/>
    <w:unhideWhenUsed/>
    <w:rsid w:val="008602A3"/>
    <w:rPr>
      <w:sz w:val="20"/>
    </w:rPr>
  </w:style>
  <w:style w:customStyle="1" w:styleId="CommentTextChar" w:type="character">
    <w:name w:val="Comment Text Char"/>
    <w:basedOn w:val="DefaultParagraphFont"/>
    <w:link w:val="CommentText"/>
    <w:uiPriority w:val="99"/>
    <w:semiHidden/>
    <w:rsid w:val="008602A3"/>
    <w:rPr>
      <w:rFonts w:ascii="Arial" w:hAnsi="Arial"/>
      <w:lang w:eastAsia="en-US" w:val="en-US"/>
    </w:rPr>
  </w:style>
  <w:style w:styleId="CommentSubject" w:type="paragraph">
    <w:name w:val="annotation subject"/>
    <w:basedOn w:val="Normal"/>
    <w:link w:val="CommentSubjectChar"/>
    <w:semiHidden/>
    <w:rsid w:val="008602A3"/>
    <w:rPr>
      <w:b/>
      <w:bCs/>
      <w:sz w:val="20"/>
    </w:rPr>
  </w:style>
  <w:style w:customStyle="1" w:styleId="CommentSubjectChar" w:type="character">
    <w:name w:val="Comment Subject Char"/>
    <w:basedOn w:val="CommentTextChar"/>
    <w:link w:val="CommentSubject"/>
    <w:semiHidden/>
    <w:rsid w:val="008602A3"/>
    <w:rPr>
      <w:rFonts w:ascii="Arial" w:hAnsi="Arial"/>
      <w:b/>
      <w:bCs/>
      <w:lang w:eastAsia="en-US" w:val="en-US"/>
    </w:rPr>
  </w:style>
  <w:style w:customStyle="1" w:styleId="Context-Heading" w:type="paragraph">
    <w:name w:val="Context-Heading"/>
    <w:basedOn w:val="Normal"/>
    <w:qFormat/>
    <w:rsid w:val="008602A3"/>
    <w:pPr>
      <w:spacing w:after="60" w:before="120"/>
    </w:pPr>
    <w:rPr>
      <w:b/>
      <w:sz w:val="24"/>
      <w:szCs w:val="24"/>
    </w:rPr>
  </w:style>
  <w:style w:customStyle="1" w:styleId="Context-Hyperlink" w:type="paragraph">
    <w:name w:val="Context-Hyperlink"/>
    <w:basedOn w:val="Normal"/>
    <w:link w:val="Context-HyperlinkChar"/>
    <w:rsid w:val="008602A3"/>
    <w:rPr>
      <w:i/>
      <w:color w:val="0000FF"/>
      <w:sz w:val="20"/>
      <w:u w:val="single"/>
      <w:lang w:val="en-CA"/>
    </w:rPr>
  </w:style>
  <w:style w:customStyle="1" w:styleId="Context-HyperlinkChar" w:type="character">
    <w:name w:val="Context-Hyperlink Char"/>
    <w:basedOn w:val="DefaultParagraphFont"/>
    <w:link w:val="Context-Hyperlink"/>
    <w:rsid w:val="008602A3"/>
    <w:rPr>
      <w:rFonts w:ascii="Arial" w:hAnsi="Arial"/>
      <w:i/>
      <w:color w:val="0000FF"/>
      <w:u w:val="single"/>
      <w:lang w:eastAsia="en-US"/>
    </w:rPr>
  </w:style>
  <w:style w:customStyle="1" w:styleId="Context-text" w:type="paragraph">
    <w:name w:val="Context-text"/>
    <w:basedOn w:val="Normal"/>
    <w:qFormat/>
    <w:rsid w:val="008602A3"/>
    <w:pPr>
      <w:spacing w:after="60" w:before="60"/>
    </w:pPr>
    <w:rPr>
      <w:i/>
      <w:iCs/>
      <w:sz w:val="20"/>
    </w:rPr>
  </w:style>
  <w:style w:customStyle="1" w:styleId="PageHeaderRegionsNameofthereport" w:type="paragraph">
    <w:name w:val="Page Header: Region(s) + Name of the report"/>
    <w:basedOn w:val="BodyText"/>
    <w:link w:val="PageHeaderRegionsNameofthereportChar"/>
    <w:rsid w:val="008602A3"/>
    <w:pPr>
      <w:spacing w:after="0"/>
    </w:pPr>
    <w:rPr>
      <w:b/>
    </w:rPr>
  </w:style>
  <w:style w:customStyle="1" w:styleId="PageHeaderRegionsNameofthereportChar" w:type="character">
    <w:name w:val="Page Header: Region(s) + Name of the report Char"/>
    <w:basedOn w:val="BodyTextChar"/>
    <w:link w:val="PageHeaderRegionsNameofthereport"/>
    <w:rsid w:val="008602A3"/>
    <w:rPr>
      <w:rFonts w:ascii="Arial" w:hAnsi="Arial"/>
      <w:b/>
      <w:sz w:val="22"/>
      <w:lang w:eastAsia="en-US" w:val="en-US"/>
    </w:rPr>
  </w:style>
  <w:style w:customStyle="1" w:styleId="StyleStyleHelvetica10ptBody" w:type="character">
    <w:name w:val="Style Style Helvetica 10 pt + +Body"/>
    <w:rsid w:val="004C3258"/>
    <w:rPr>
      <w:rFonts w:ascii="Calibri" w:hAnsi="Calibri"/>
      <w:sz w:val="22"/>
    </w:rPr>
  </w:style>
  <w:style w:customStyle="1" w:styleId="StyleHelvetica10pt" w:type="character">
    <w:name w:val="Style Helvetica 10 pt"/>
    <w:rsid w:val="004C3258"/>
    <w:rPr>
      <w:rFonts w:ascii="Helvetica" w:hAnsi="Helvetica"/>
      <w:sz w:val="18"/>
    </w:rPr>
  </w:style>
  <w:style w:customStyle="1" w:styleId="Compact" w:type="paragraph">
    <w:name w:val="Compact"/>
    <w:basedOn w:val="BodyText"/>
    <w:qFormat/>
    <w:rsid w:val="00E76791"/>
    <w:pPr>
      <w:spacing w:after="40" w:before="40"/>
    </w:pPr>
    <w:rPr>
      <w:rFonts w:cstheme="minorBidi" w:eastAsiaTheme="minorHAnsi"/>
      <w:sz w:val="20"/>
      <w:szCs w:val="24"/>
    </w:rPr>
  </w:style>
  <w:style w:customStyle="1" w:styleId="Table" w:type="table">
    <w:name w:val="Table"/>
    <w:qFormat/>
    <w:rsid w:val="00E76791"/>
    <w:pPr>
      <w:spacing w:after="200"/>
    </w:pPr>
    <w:rPr>
      <w:rFonts w:asciiTheme="minorHAnsi" w:cstheme="minorBidi" w:eastAsiaTheme="minorHAnsi" w:hAnsiTheme="minorHAnsi"/>
      <w:sz w:val="24"/>
      <w:szCs w:val="24"/>
      <w:lang w:eastAsia="en-US"/>
    </w:rPr>
    <w:tblPr>
      <w:tblBorders>
        <w:top w:color="auto" w:space="0" w:sz="4" w:val="single"/>
        <w:bottom w:color="auto" w:space="0" w:sz="4" w:val="single"/>
      </w:tblBorders>
      <w:tblCellMar>
        <w:top w:type="dxa" w:w="0"/>
        <w:left w:type="dxa" w:w="108"/>
        <w:bottom w:type="dxa" w:w="0"/>
        <w:right w:type="dxa" w:w="108"/>
      </w:tblCellMar>
    </w:tblPr>
    <w:tblStylePr w:type="firstRow">
      <w:tblPr/>
      <w:tcPr>
        <w:tcBorders>
          <w:bottom w:color="auto" w:space="0" w:sz="4" w:val="single"/>
        </w:tcBorders>
      </w:tcPr>
    </w:tblStyle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4794209">
      <w:bodyDiv w:val="1"/>
      <w:marLeft w:val="0"/>
      <w:marRight w:val="0"/>
      <w:marTop w:val="0"/>
      <w:marBottom w:val="0"/>
      <w:divBdr>
        <w:top w:val="none" w:sz="0" w:space="0" w:color="auto"/>
        <w:left w:val="none" w:sz="0" w:space="0" w:color="auto"/>
        <w:bottom w:val="none" w:sz="0" w:space="0" w:color="auto"/>
        <w:right w:val="none" w:sz="0" w:space="0" w:color="auto"/>
      </w:divBdr>
    </w:div>
    <w:div w:id="656569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Id="rId12" Target="footer2.xml" Type="http://schemas.openxmlformats.org/officeDocument/2006/relationships/footer" /><Relationship Type="http://schemas.openxmlformats.org/officeDocument/2006/relationships/image" Id="rId35" Target="media/rId35.png" /><Relationship Type="http://schemas.openxmlformats.org/officeDocument/2006/relationships/image" Id="rId69" Target="media/rId69.png" /><Relationship Type="http://schemas.openxmlformats.org/officeDocument/2006/relationships/image" Id="rId36" Target="media/rId36.png" /><Relationship Type="http://schemas.openxmlformats.org/officeDocument/2006/relationships/image" Id="rId45" Target="media/rId45.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29" Target="media/rId29.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25" Target="media/rId25.png" /><Relationship Type="http://schemas.openxmlformats.org/officeDocument/2006/relationships/image" Id="rId80" Target="media/rId80.png" /><Relationship Type="http://schemas.openxmlformats.org/officeDocument/2006/relationships/image" Id="rId70" Target="media/rId70.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21" Target="media/rId21.png" /><Relationship Type="http://schemas.openxmlformats.org/officeDocument/2006/relationships/image" Id="rId20" Target="media/rId20.png" /><Relationship Type="http://schemas.openxmlformats.org/officeDocument/2006/relationships/hyperlink" Id="rId77" Target="http://www.dfo-mpo.gc.ca/fm-gp/peches-fisheries/ifmp-gmp/snow-crab-neige/snow-crab-neiges2013-eng.htm" TargetMode="External" /><Relationship Type="http://schemas.openxmlformats.org/officeDocument/2006/relationships/hyperlink" Id="rId22" Target="http://www.isdm-gd%20si.gc.ca/csas-sccs/applications/%20events-evenements/index-eng.asp" TargetMode="External" /><Relationship Type="http://schemas.openxmlformats.org/officeDocument/2006/relationships/hyperlink" Id="rId75" Target="http://www.isdm-gdsi.gc.ca/csas-sccs/applications/events-evenements/index-eng.asp" TargetMode="External" /><Relationship Type="http://schemas.openxmlformats.org/officeDocument/2006/relationships/hyperlink" Id="rId76" Target="https://www.cnsopb.ns.ca/lands-management/" TargetMode="External" /><Relationship Type="http://schemas.openxmlformats.org/officeDocument/2006/relationships/hyperlink" Id="rId79" Target="mailto:MaritimesRAP.XMAR@dfo-mpo.gc.ca"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notes.xml.rels><?xml version="1.0" encoding="UTF-8"?><Relationships xmlns="http://schemas.openxmlformats.org/package/2006/relationships"><Relationship Type="http://schemas.openxmlformats.org/officeDocument/2006/relationships/hyperlink" Id="rId77" Target="http://www.dfo-mpo.gc.ca/fm-gp/peches-fisheries/ifmp-gmp/snow-crab-neige/snow-crab-neiges2013-eng.htm" TargetMode="External" /><Relationship Type="http://schemas.openxmlformats.org/officeDocument/2006/relationships/hyperlink" Id="rId22" Target="http://www.isdm-gd%20si.gc.ca/csas-sccs/applications/%20events-evenements/index-eng.asp" TargetMode="External" /><Relationship Type="http://schemas.openxmlformats.org/officeDocument/2006/relationships/hyperlink" Id="rId75" Target="http://www.isdm-gdsi.gc.ca/csas-sccs/applications/events-evenements/index-eng.asp" TargetMode="External" /><Relationship Type="http://schemas.openxmlformats.org/officeDocument/2006/relationships/hyperlink" Id="rId76" Target="https://www.cnsopb.ns.ca/lands-management/" TargetMode="External" /><Relationship Type="http://schemas.openxmlformats.org/officeDocument/2006/relationships/hyperlink" Id="rId79" Target="mailto:MaritimesRAP.XMAR@dfo-mpo.gc.ca"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deauI\Desktop\Templates\2014\SRR-RS2014_nnn-e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SRR-RS2014_nnn-eng.dotx</Template>
  <TotalTime>0</TotalTime>
  <Pages>6</Pages>
  <Words>1252</Words>
  <Characters>7137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SRR</vt:lpstr>
    </vt:vector>
  </TitlesOfParts>
  <Company>DFO</Company>
  <LinksUpToDate>false</LinksUpToDate>
  <CharactersWithSpaces>8373</CharactersWithSpaces>
  <SharedDoc>false</SharedDoc>
  <HLinks>
    <vt:vector size="54" baseType="variant">
      <vt:variant>
        <vt:i4>3473530</vt:i4>
      </vt:variant>
      <vt:variant>
        <vt:i4>24</vt:i4>
      </vt:variant>
      <vt:variant>
        <vt:i4>0</vt:i4>
      </vt:variant>
      <vt:variant>
        <vt:i4>5</vt:i4>
      </vt:variant>
      <vt:variant>
        <vt:lpwstr>http://www.dfo-mpo.gc.ca/csas-sccs</vt:lpwstr>
      </vt:variant>
      <vt:variant>
        <vt:lpwstr/>
      </vt:variant>
      <vt:variant>
        <vt:i4>6553707</vt:i4>
      </vt:variant>
      <vt:variant>
        <vt:i4>21</vt:i4>
      </vt:variant>
      <vt:variant>
        <vt:i4>0</vt:i4>
      </vt:variant>
      <vt:variant>
        <vt:i4>5</vt:i4>
      </vt:variant>
      <vt:variant>
        <vt:lpwstr>http://www.dfo-mpo.gc.ca/Library/333125.pdf</vt:lpwstr>
      </vt:variant>
      <vt:variant>
        <vt:lpwstr/>
      </vt:variant>
      <vt:variant>
        <vt:i4>327764</vt:i4>
      </vt:variant>
      <vt:variant>
        <vt:i4>18</vt:i4>
      </vt:variant>
      <vt:variant>
        <vt:i4>0</vt:i4>
      </vt:variant>
      <vt:variant>
        <vt:i4>5</vt:i4>
      </vt:variant>
      <vt:variant>
        <vt:lpwstr>http://www.isdm-gdsi.gc.ca/csas-sccs/applications/events-evenements/index-eng.asp</vt:lpwstr>
      </vt:variant>
      <vt:variant>
        <vt:lpwstr/>
      </vt:variant>
      <vt:variant>
        <vt:i4>327764</vt:i4>
      </vt:variant>
      <vt:variant>
        <vt:i4>15</vt:i4>
      </vt:variant>
      <vt:variant>
        <vt:i4>0</vt:i4>
      </vt:variant>
      <vt:variant>
        <vt:i4>5</vt:i4>
      </vt:variant>
      <vt:variant>
        <vt:lpwstr>http://www.isdm-gdsi.gc.ca/csas-sccs/applications/events-evenements/index-eng.asp</vt:lpwstr>
      </vt:variant>
      <vt:variant>
        <vt:lpwstr/>
      </vt:variant>
      <vt:variant>
        <vt:i4>4325450</vt:i4>
      </vt:variant>
      <vt:variant>
        <vt:i4>12</vt:i4>
      </vt:variant>
      <vt:variant>
        <vt:i4>0</vt:i4>
      </vt:variant>
      <vt:variant>
        <vt:i4>5</vt:i4>
      </vt:variant>
      <vt:variant>
        <vt:lpwstr>http://webaim.org/techniques/alttext/</vt:lpwstr>
      </vt:variant>
      <vt:variant>
        <vt:lpwstr/>
      </vt:variant>
      <vt:variant>
        <vt:i4>655429</vt:i4>
      </vt:variant>
      <vt:variant>
        <vt:i4>9</vt:i4>
      </vt:variant>
      <vt:variant>
        <vt:i4>0</vt:i4>
      </vt:variant>
      <vt:variant>
        <vt:i4>5</vt:i4>
      </vt:variant>
      <vt:variant>
        <vt:lpwstr>http://www.dfo-mpo.gc.ca/</vt:lpwstr>
      </vt:variant>
      <vt:variant>
        <vt:lpwstr/>
      </vt:variant>
      <vt:variant>
        <vt:i4>5505050</vt:i4>
      </vt:variant>
      <vt:variant>
        <vt:i4>6</vt:i4>
      </vt:variant>
      <vt:variant>
        <vt:i4>0</vt:i4>
      </vt:variant>
      <vt:variant>
        <vt:i4>5</vt:i4>
      </vt:variant>
      <vt:variant>
        <vt:lpwstr>http://www.shaunakelly.com/word/styles/tipsonstyles.html</vt:lpwstr>
      </vt:variant>
      <vt:variant>
        <vt:lpwstr/>
      </vt:variant>
      <vt:variant>
        <vt:i4>6881385</vt:i4>
      </vt:variant>
      <vt:variant>
        <vt:i4>3</vt:i4>
      </vt:variant>
      <vt:variant>
        <vt:i4>0</vt:i4>
      </vt:variant>
      <vt:variant>
        <vt:i4>5</vt:i4>
      </vt:variant>
      <vt:variant>
        <vt:lpwstr>http://office.microsoft.com/en-us/word-help/creating-accessible-word-documents-HA101999993.aspx</vt:lpwstr>
      </vt:variant>
      <vt:variant>
        <vt:lpwstr/>
      </vt:variant>
      <vt:variant>
        <vt:i4>6619253</vt:i4>
      </vt:variant>
      <vt:variant>
        <vt:i4>0</vt:i4>
      </vt:variant>
      <vt:variant>
        <vt:i4>0</vt:i4>
      </vt:variant>
      <vt:variant>
        <vt:i4>5</vt:i4>
      </vt:variant>
      <vt:variant>
        <vt:lpwstr>http://www.tbs-sct.gc.ca/ws-nw/wa-aw/index-eng.asp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Snow crab assessment</dc:title>
  <dc:creator>Snow crab group</dc:creator>
  <cp:keywords/>
  <dcterms:created xsi:type="dcterms:W3CDTF">2022-01-20T00:23:37Z</dcterms:created>
  <dcterms:modified xsi:type="dcterms:W3CDTF">2022-01-20T00:23:37Z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media/snowcrab.bib</vt:lpwstr>
  </property>
  <property fmtid="{D5CDD505-2E9C-101B-9397-08002B2CF9AE}" pid="3" name="csl">
    <vt:lpwstr>media/csas.csl</vt:lpwstr>
  </property>
  <property fmtid="{D5CDD505-2E9C-101B-9397-08002B2CF9AE}" pid="4" name="date">
    <vt:lpwstr>Last compiled on 19 January, 2022</vt:lpwstr>
  </property>
  <property fmtid="{D5CDD505-2E9C-101B-9397-08002B2CF9AE}" pid="5" name="output">
    <vt:lpwstr/>
  </property>
</Properties>
</file>