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94C7B"/>
          <w:sz w:val="36"/>
          <w:szCs w:val="36"/>
        </w:rPr>
        <w:t xml:space="preserve">BRENT BILLINGTON, PE, CFM</w:t>
      </w:r>
    </w:p>
    <w:p>
      <w:pPr>
        <w:pBdr>
          <w:bottom w:val="single" w:color="094C7B" w:sz="8" w:space="4"/>
        </w:pBdr>
        <w:spacing w:after="100"/>
        <w:jc w:val="center"/>
      </w:pPr>
      <w:r>
        <w:rPr>
          <w:sz w:val="20"/>
          <w:szCs w:val="20"/>
        </w:rPr>
        <w:t xml:space="preserve">Coppell, TX</w:t>
      </w:r>
      <w:r>
        <w:rPr>
          <w:color w:val="595959"/>
          <w:sz w:val="20"/>
          <w:szCs w:val="20"/>
        </w:rPr>
        <w:t xml:space="preserve">  ·  </w:t>
      </w:r>
      <w:r>
        <w:rPr>
          <w:sz w:val="20"/>
          <w:szCs w:val="20"/>
        </w:rPr>
        <w:t xml:space="preserve">(941) 468-5244</w:t>
      </w:r>
      <w:r>
        <w:rPr>
          <w:color w:val="595959"/>
          <w:sz w:val="20"/>
          <w:szCs w:val="20"/>
        </w:rPr>
        <w:t xml:space="preserve">  ·  </w:t>
      </w:r>
      <w:r>
        <w:rPr>
          <w:sz w:val="20"/>
          <w:szCs w:val="20"/>
        </w:rPr>
        <w:t xml:space="preserve">brent.billington@gmail.com</w:t>
      </w:r>
    </w:p>
    <w:p>
      <w:pPr>
        <w:pBdr>
          <w:bottom w:val="single" w:color="094C7B" w:sz="6" w:space="2"/>
        </w:pBdr>
        <w:spacing w:after="60" w:before="140"/>
      </w:pPr>
      <w:r>
        <w:rPr>
          <w:rFonts w:ascii="Calibri" w:cs="Calibri" w:eastAsia="Calibri" w:hAnsi="Calibri"/>
          <w:b/>
          <w:bCs/>
          <w:color w:val="094C7B"/>
          <w:sz w:val="22"/>
          <w:szCs w:val="22"/>
        </w:rPr>
        <w:t xml:space="preserve">PROFESSIONAL SUMMARY</w:t>
      </w:r>
    </w:p>
    <w:p>
      <w:pPr>
        <w:spacing w:after="60"/>
      </w:pPr>
      <w:r>
        <w:rPr>
          <w:sz w:val="20"/>
          <w:szCs w:val="20"/>
        </w:rPr>
        <w:t xml:space="preserve">Texas-licensed civil engineer (PE, CFM) with 14 years in civil practice — 9 on DFW municipal infrastructure — and concurrent firmwide technology leadership at a 1,500-person AEC firm. Currently leads an 8-person Public Works team that has exceeded all KPIs every year since inception and ranks in the top 20 of 126 production teams firmwide. Founding member of the firmwide Civil 3D Standards Committee, chair of the Technology Advancement Group, and contributing member of the firmwide Generative AI Evaluation Committee whose recommendation was adopted by the C-suite for deployment across 1,500 employees. Builds applied AI and workflow-automation tools deployed into team production workflows.</w:t>
      </w:r>
    </w:p>
    <w:p>
      <w:pPr>
        <w:spacing w:after="80"/>
      </w:pPr>
      <w:r>
        <w:rPr>
          <w:b/>
          <w:bCs/>
          <w:color w:val="094C7B"/>
          <w:sz w:val="20"/>
          <w:szCs w:val="20"/>
        </w:rPr>
        <w:t xml:space="preserve">Core Competencies:  </w:t>
      </w:r>
      <w:r>
        <w:rPr>
          <w:sz w:val="20"/>
          <w:szCs w:val="20"/>
        </w:rPr>
        <w:t xml:space="preserve">Municipal Infrastructure PS&amp;E  ·  Public Works Team Leadership  ·  Civil 3D Standards Development  ·  Applied AI &amp; Workflow Automation  ·  Pursuit Intelligence &amp; Business Development  ·  Firmwide Technology Committees</w:t>
      </w:r>
    </w:p>
    <w:p>
      <w:pPr>
        <w:pBdr>
          <w:bottom w:val="single" w:color="094C7B" w:sz="6" w:space="2"/>
        </w:pBdr>
        <w:spacing w:after="60" w:before="140"/>
      </w:pPr>
      <w:r>
        <w:rPr>
          <w:rFonts w:ascii="Calibri" w:cs="Calibri" w:eastAsia="Calibri" w:hAnsi="Calibri"/>
          <w:b/>
          <w:bCs/>
          <w:color w:val="094C7B"/>
          <w:sz w:val="22"/>
          <w:szCs w:val="22"/>
        </w:rPr>
        <w:t xml:space="preserve">FIRMWIDE TECHNOLOGY LEADERSHIP</w:t>
      </w:r>
    </w:p>
    <w:p>
      <w:pPr>
        <w:pStyle w:val="ListParagraph"/>
        <w:numPr>
          <w:ilvl w:val="0"/>
          <w:numId w:val="2"/>
        </w:numPr>
        <w:spacing w:after="30"/>
      </w:pPr>
      <w:r>
        <w:rPr>
          <w:b/>
          <w:bCs/>
          <w:sz w:val="20"/>
          <w:szCs w:val="20"/>
        </w:rPr>
        <w:t xml:space="preserve">Founding Member, Civil 3D Standards Committee (June 2023 – present).</w:t>
      </w:r>
      <w:r>
        <w:rPr>
          <w:sz w:val="20"/>
          <w:szCs w:val="20"/>
        </w:rPr>
        <w:t xml:space="preserve"> Helped develop the standardized template library, sheet-set workflow, and Texas-specific drainage calculation spreadsheet now in use across all 32 Halff offices.</w:t>
      </w:r>
    </w:p>
    <w:p>
      <w:pPr>
        <w:pStyle w:val="ListParagraph"/>
        <w:numPr>
          <w:ilvl w:val="0"/>
          <w:numId w:val="2"/>
        </w:numPr>
        <w:spacing w:after="30"/>
      </w:pPr>
      <w:r>
        <w:rPr>
          <w:b/>
          <w:bCs/>
          <w:sz w:val="20"/>
          <w:szCs w:val="20"/>
        </w:rPr>
        <w:t xml:space="preserve">Chair, Technology Advancement Group (TAG) (April 2023 – July 2024); Member (January 2022 – April 2023).</w:t>
      </w:r>
      <w:r>
        <w:rPr>
          <w:sz w:val="20"/>
          <w:szCs w:val="20"/>
        </w:rPr>
        <w:t xml:space="preserve"> Chaired a firmwide cross-discipline Employee Resource Group (one of seven) open to all offices and disciplines. Curated a recurring lunch-and-learn program averaging six sessions per year, drawing presenters and audiences from across all 32 Halff offices.</w:t>
      </w:r>
    </w:p>
    <w:p>
      <w:pPr>
        <w:pStyle w:val="ListParagraph"/>
        <w:numPr>
          <w:ilvl w:val="0"/>
          <w:numId w:val="2"/>
        </w:numPr>
        <w:spacing w:after="30"/>
      </w:pPr>
      <w:r>
        <w:rPr>
          <w:b/>
          <w:bCs/>
          <w:sz w:val="20"/>
          <w:szCs w:val="20"/>
        </w:rPr>
        <w:t xml:space="preserve">Member, Generative AI Evaluation Committee (March 2023 – September 2023).</w:t>
      </w:r>
      <w:r>
        <w:rPr>
          <w:sz w:val="20"/>
          <w:szCs w:val="20"/>
        </w:rPr>
        <w:t xml:space="preserve"> Six-month firmwide initiative to evaluate enterprise AI platforms; the platform recommended by the committee was selected by the C-suite for company-wide adoption across 1,500 employees.</w:t>
      </w:r>
    </w:p>
    <w:p>
      <w:pPr>
        <w:pStyle w:val="ListParagraph"/>
        <w:numPr>
          <w:ilvl w:val="0"/>
          <w:numId w:val="2"/>
        </w:numPr>
        <w:spacing w:after="30"/>
      </w:pPr>
      <w:r>
        <w:rPr>
          <w:b/>
          <w:bCs/>
          <w:sz w:val="20"/>
          <w:szCs w:val="20"/>
        </w:rPr>
        <w:t xml:space="preserve">Municipal Market Intelligence Platform.</w:t>
      </w:r>
      <w:r>
        <w:rPr>
          <w:sz w:val="20"/>
          <w:szCs w:val="20"/>
        </w:rPr>
        <w:t xml:space="preserve"> Built and deployed an internal platform that monitors council agendas, capital budgets, and contract awards across 11 DFW municipalities. Automated pipeline ingests city documents, identifies comparable projects, and surfaces them through a dashboard used by senior leadership for pursuit scoping and market positioning. Replaced research that was previously too time-consuming to perform at scale.</w:t>
      </w:r>
    </w:p>
    <w:p>
      <w:pPr>
        <w:pStyle w:val="ListParagraph"/>
        <w:numPr>
          <w:ilvl w:val="0"/>
          <w:numId w:val="2"/>
        </w:numPr>
        <w:spacing w:after="30"/>
      </w:pPr>
      <w:r>
        <w:rPr>
          <w:b/>
          <w:bCs/>
          <w:sz w:val="20"/>
          <w:szCs w:val="20"/>
        </w:rPr>
        <w:t xml:space="preserve">Auto-Quantity Tool (AutoLISP).</w:t>
      </w:r>
      <w:r>
        <w:rPr>
          <w:sz w:val="20"/>
          <w:szCs w:val="20"/>
        </w:rPr>
        <w:t xml:space="preserve"> Authored a custom AutoLISP routine that automates pay-item quantity takeoffs from Civil 3D — now standard on every team OPCC submittal.</w:t>
      </w:r>
    </w:p>
    <w:p>
      <w:pPr>
        <w:pStyle w:val="ListParagraph"/>
        <w:numPr>
          <w:ilvl w:val="0"/>
          <w:numId w:val="2"/>
        </w:numPr>
        <w:spacing w:after="30"/>
      </w:pPr>
      <w:r>
        <w:rPr>
          <w:b/>
          <w:bCs/>
          <w:sz w:val="20"/>
          <w:szCs w:val="20"/>
        </w:rPr>
        <w:t xml:space="preserve">Bid Tab Agent.</w:t>
      </w:r>
      <w:r>
        <w:rPr>
          <w:sz w:val="20"/>
          <w:szCs w:val="20"/>
        </w:rPr>
        <w:t xml:space="preserve"> Authored a tool that surfaces historical unit pricing for proposed pay items by matching against prior bid tabs, weighted by region and client. Used on two team OPCC submittals to date; paired with the Auto-Quantity tool to eliminate the manual pricing research step.</w:t>
      </w:r>
    </w:p>
    <w:p>
      <w:pPr>
        <w:pStyle w:val="ListParagraph"/>
        <w:numPr>
          <w:ilvl w:val="0"/>
          <w:numId w:val="2"/>
        </w:numPr>
        <w:spacing w:after="30"/>
      </w:pPr>
      <w:r>
        <w:rPr>
          <w:b/>
          <w:bCs/>
          <w:sz w:val="20"/>
          <w:szCs w:val="20"/>
        </w:rPr>
        <w:t xml:space="preserve">In-House Tooling Replacing Third-Party Licenses.</w:t>
      </w:r>
      <w:r>
        <w:rPr>
          <w:sz w:val="20"/>
          <w:szCs w:val="20"/>
        </w:rPr>
        <w:t xml:space="preserve"> Drove team strategy of replacing paid Civil 3D add-ons with in-house tools. First deliverable: a station/offset COGO routine replacing a commercial license, with additional replacements in active development. Additional utilities include an Auto-Aerial routine that pulls Nearmap imagery into Civil 3D directly. Tools support Team 117’s top-20-of-126 ranking.</w:t>
      </w:r>
    </w:p>
    <w:p>
      <w:pPr>
        <w:pBdr>
          <w:bottom w:val="single" w:color="094C7B" w:sz="6" w:space="2"/>
        </w:pBdr>
        <w:spacing w:after="60" w:before="140"/>
      </w:pPr>
      <w:r>
        <w:rPr>
          <w:rFonts w:ascii="Calibri" w:cs="Calibri" w:eastAsia="Calibri" w:hAnsi="Calibri"/>
          <w:b/>
          <w:bCs/>
          <w:color w:val="094C7B"/>
          <w:sz w:val="22"/>
          <w:szCs w:val="22"/>
        </w:rPr>
        <w:t xml:space="preserve">PROFESSIONAL EXPERIENCE</w:t>
      </w:r>
    </w:p>
    <w:p>
      <w:pPr>
        <w:spacing w:after="0" w:before="100"/>
      </w:pPr>
      <w:r>
        <w:rPr>
          <w:b/>
          <w:bCs/>
          <w:sz w:val="22"/>
          <w:szCs w:val="22"/>
        </w:rPr>
        <w:t xml:space="preserve">Halff Associates</w:t>
      </w:r>
      <w:r>
        <w:rPr>
          <w:sz w:val="22"/>
          <w:szCs w:val="22"/>
        </w:rPr>
        <w:t xml:space="preserve">  ·  </w:t>
      </w:r>
      <w:r>
        <w:rPr>
          <w:color w:val="595959"/>
          <w:sz w:val="22"/>
          <w:szCs w:val="22"/>
        </w:rPr>
        <w:t xml:space="preserve">Frisco, TX</w:t>
      </w:r>
    </w:p>
    <w:p>
      <w:pPr>
        <w:spacing w:after="40" w:before="80"/>
      </w:pPr>
      <w:r>
        <w:rPr>
          <w:b/>
          <w:bCs/>
          <w:i/>
          <w:iCs/>
          <w:sz w:val="20"/>
          <w:szCs w:val="20"/>
        </w:rPr>
        <w:t xml:space="preserve">Team Leader, Public Works</w:t>
      </w:r>
      <w:r>
        <w:rPr>
          <w:sz w:val="20"/>
          <w:szCs w:val="20"/>
        </w:rPr>
        <w:t xml:space="preserve">  —  </w:t>
      </w:r>
      <w:r>
        <w:rPr>
          <w:i/>
          <w:iCs/>
          <w:color w:val="595959"/>
          <w:sz w:val="20"/>
          <w:szCs w:val="20"/>
        </w:rPr>
        <w:t xml:space="preserve">January 2023 to present</w:t>
      </w:r>
    </w:p>
    <w:p>
      <w:pPr>
        <w:pStyle w:val="ListParagraph"/>
        <w:numPr>
          <w:ilvl w:val="0"/>
          <w:numId w:val="2"/>
        </w:numPr>
        <w:spacing w:after="20"/>
      </w:pPr>
      <w:r>
        <w:rPr>
          <w:sz w:val="20"/>
          <w:szCs w:val="20"/>
        </w:rPr>
        <w:t xml:space="preserve">Lead 8-person team delivering municipal infrastructure design across DFW (Carrollton, Frisco, Celina, McKinney, North Richland Hills, The Colony, Plano, Lewisville, Euless); team has exceeded all KPIs every year since inception and ranks in the top 20 of 126 production teams firmwide</w:t>
      </w:r>
    </w:p>
    <w:p>
      <w:pPr>
        <w:pStyle w:val="ListParagraph"/>
        <w:numPr>
          <w:ilvl w:val="0"/>
          <w:numId w:val="2"/>
        </w:numPr>
        <w:spacing w:after="20"/>
      </w:pPr>
      <w:r>
        <w:rPr>
          <w:sz w:val="20"/>
          <w:szCs w:val="20"/>
        </w:rPr>
        <w:t xml:space="preserve">Grew team from 3 to 8 through hiring, mentorship, and succession planning; manage active project portfolio spanning roadway, drainage, and small-diameter water/wastewater design</w:t>
      </w:r>
    </w:p>
    <w:p>
      <w:pPr>
        <w:pStyle w:val="ListParagraph"/>
        <w:numPr>
          <w:ilvl w:val="0"/>
          <w:numId w:val="2"/>
        </w:numPr>
        <w:spacing w:after="20"/>
      </w:pPr>
      <w:r>
        <w:rPr>
          <w:sz w:val="20"/>
          <w:szCs w:val="20"/>
        </w:rPr>
        <w:t xml:space="preserve">Coordinate sub-teams across H&amp;H, landscape architecture and irrigation, structural, surveying, SUE, and environmental on multidisciplinary deliverables</w:t>
      </w:r>
    </w:p>
    <w:p>
      <w:pPr>
        <w:pStyle w:val="ListParagraph"/>
        <w:numPr>
          <w:ilvl w:val="0"/>
          <w:numId w:val="2"/>
        </w:numPr>
        <w:spacing w:after="20"/>
      </w:pPr>
      <w:r>
        <w:rPr>
          <w:sz w:val="20"/>
          <w:szCs w:val="20"/>
        </w:rPr>
        <w:t xml:space="preserve">Serve as primary client relationship lead for Carrollton, NRH, Celina, and The Colony; led pursuit and SOQ for $2.1M Hebron Parkway reconstruction (won January 2025)</w:t>
      </w:r>
    </w:p>
    <w:p>
      <w:pPr>
        <w:spacing w:after="40" w:before="80"/>
      </w:pPr>
      <w:r>
        <w:rPr>
          <w:b/>
          <w:bCs/>
          <w:i/>
          <w:iCs/>
          <w:sz w:val="20"/>
          <w:szCs w:val="20"/>
        </w:rPr>
        <w:t xml:space="preserve">Project Manager, Public Works</w:t>
      </w:r>
      <w:r>
        <w:rPr>
          <w:sz w:val="20"/>
          <w:szCs w:val="20"/>
        </w:rPr>
        <w:t xml:space="preserve">  —  </w:t>
      </w:r>
      <w:r>
        <w:rPr>
          <w:i/>
          <w:iCs/>
          <w:color w:val="595959"/>
          <w:sz w:val="20"/>
          <w:szCs w:val="20"/>
        </w:rPr>
        <w:t xml:space="preserve">September 2021 to January 2023</w:t>
      </w:r>
    </w:p>
    <w:p>
      <w:pPr>
        <w:pStyle w:val="ListParagraph"/>
        <w:numPr>
          <w:ilvl w:val="0"/>
          <w:numId w:val="2"/>
        </w:numPr>
        <w:spacing w:after="20"/>
      </w:pPr>
      <w:r>
        <w:rPr>
          <w:sz w:val="20"/>
          <w:szCs w:val="20"/>
        </w:rPr>
        <w:t xml:space="preserve">Managed roadway, drainage, and utility design as PM on residential and collector reconstruction, downtown revitalization, and arterial widening projects across Frisco, Celina, NRH, and The Colony</w:t>
      </w:r>
    </w:p>
    <w:p>
      <w:pPr>
        <w:pStyle w:val="ListParagraph"/>
        <w:numPr>
          <w:ilvl w:val="0"/>
          <w:numId w:val="2"/>
        </w:numPr>
        <w:spacing w:after="20"/>
      </w:pPr>
      <w:r>
        <w:rPr>
          <w:sz w:val="20"/>
          <w:szCs w:val="20"/>
        </w:rPr>
        <w:t xml:space="preserve">Selected for Halff’s Project Manager Training cohort (2022) — one of 26 high-performers identified firmwide for accelerated leadership development</w:t>
      </w:r>
    </w:p>
    <w:p>
      <w:pPr>
        <w:spacing w:after="40" w:before="80"/>
      </w:pPr>
      <w:r>
        <w:rPr>
          <w:b/>
          <w:bCs/>
          <w:i/>
          <w:iCs/>
          <w:sz w:val="20"/>
          <w:szCs w:val="20"/>
        </w:rPr>
        <w:t xml:space="preserve">Civil Engineer / Project Engineer</w:t>
      </w:r>
      <w:r>
        <w:rPr>
          <w:sz w:val="20"/>
          <w:szCs w:val="20"/>
        </w:rPr>
        <w:t xml:space="preserve">  —  </w:t>
      </w:r>
      <w:r>
        <w:rPr>
          <w:i/>
          <w:iCs/>
          <w:color w:val="595959"/>
          <w:sz w:val="20"/>
          <w:szCs w:val="20"/>
        </w:rPr>
        <w:t xml:space="preserve">June 2017 to September 2021</w:t>
      </w:r>
    </w:p>
    <w:p>
      <w:pPr>
        <w:pStyle w:val="ListParagraph"/>
        <w:numPr>
          <w:ilvl w:val="0"/>
          <w:numId w:val="2"/>
        </w:numPr>
        <w:spacing w:after="20"/>
      </w:pPr>
      <w:r>
        <w:rPr>
          <w:sz w:val="20"/>
          <w:szCs w:val="20"/>
        </w:rPr>
        <w:t xml:space="preserve">Project design lead for roadway and drainage PS&amp;E on municipal and TxDOT projects, supervising EITs and subconsultants on multi-discipline deliverables</w:t>
      </w:r>
    </w:p>
    <w:p>
      <w:pPr>
        <w:pStyle w:val="ListParagraph"/>
        <w:numPr>
          <w:ilvl w:val="0"/>
          <w:numId w:val="2"/>
        </w:numPr>
        <w:spacing w:after="20"/>
      </w:pPr>
      <w:r>
        <w:rPr>
          <w:sz w:val="20"/>
          <w:szCs w:val="20"/>
        </w:rPr>
        <w:t xml:space="preserve">Trained an EIT on the Choate Parkway two-lane roundabout design (see Selected Projects); EIT independently led the next two-lane roundabout in Celina, and the design became internal reference for subsequent Halff roundabouts</w:t>
      </w:r>
    </w:p>
    <w:p>
      <w:pPr>
        <w:spacing w:after="0" w:before="100"/>
      </w:pPr>
      <w:r>
        <w:rPr>
          <w:b/>
          <w:bCs/>
          <w:sz w:val="22"/>
          <w:szCs w:val="22"/>
        </w:rPr>
        <w:t xml:space="preserve">HNTB</w:t>
      </w:r>
      <w:r>
        <w:rPr>
          <w:sz w:val="22"/>
          <w:szCs w:val="22"/>
        </w:rPr>
        <w:t xml:space="preserve">  ·  </w:t>
      </w:r>
      <w:r>
        <w:rPr>
          <w:color w:val="595959"/>
          <w:sz w:val="22"/>
          <w:szCs w:val="22"/>
        </w:rPr>
        <w:t xml:space="preserve">Plano, TX</w:t>
      </w:r>
    </w:p>
    <w:p>
      <w:pPr>
        <w:spacing w:after="40" w:before="80"/>
      </w:pPr>
      <w:r>
        <w:rPr>
          <w:b/>
          <w:bCs/>
          <w:i/>
          <w:iCs/>
          <w:sz w:val="20"/>
          <w:szCs w:val="20"/>
        </w:rPr>
        <w:t xml:space="preserve">Transportation/Drainage Engineer</w:t>
      </w:r>
      <w:r>
        <w:rPr>
          <w:sz w:val="20"/>
          <w:szCs w:val="20"/>
        </w:rPr>
        <w:t xml:space="preserve">  —  </w:t>
      </w:r>
      <w:r>
        <w:rPr>
          <w:i/>
          <w:iCs/>
          <w:color w:val="595959"/>
          <w:sz w:val="20"/>
          <w:szCs w:val="20"/>
        </w:rPr>
        <w:t xml:space="preserve">June 2015 to June 2017</w:t>
      </w:r>
    </w:p>
    <w:p>
      <w:pPr>
        <w:pStyle w:val="ListParagraph"/>
        <w:numPr>
          <w:ilvl w:val="0"/>
          <w:numId w:val="2"/>
        </w:numPr>
        <w:spacing w:after="20"/>
      </w:pPr>
      <w:r>
        <w:rPr>
          <w:sz w:val="20"/>
          <w:szCs w:val="20"/>
        </w:rPr>
        <w:t xml:space="preserve">TxDOT highway PS&amp;E and schematic design; urban and rural storm sewer design using InRoads Storm &amp; Sanitary; H&amp;H analysis applying Rational Method, NCIS, and HEC-RAS modeling</w:t>
      </w:r>
    </w:p>
    <w:p>
      <w:pPr>
        <w:spacing w:after="0" w:before="100"/>
      </w:pPr>
      <w:r>
        <w:rPr>
          <w:b/>
          <w:bCs/>
          <w:sz w:val="22"/>
          <w:szCs w:val="22"/>
        </w:rPr>
        <w:t xml:space="preserve">Holder Construction Company</w:t>
      </w:r>
      <w:r>
        <w:rPr>
          <w:sz w:val="22"/>
          <w:szCs w:val="22"/>
        </w:rPr>
        <w:t xml:space="preserve">  ·  </w:t>
      </w:r>
      <w:r>
        <w:rPr>
          <w:color w:val="595959"/>
          <w:sz w:val="22"/>
          <w:szCs w:val="22"/>
        </w:rPr>
        <w:t xml:space="preserve">Irving, TX</w:t>
      </w:r>
    </w:p>
    <w:p>
      <w:pPr>
        <w:spacing w:after="40" w:before="80"/>
      </w:pPr>
      <w:r>
        <w:rPr>
          <w:b/>
          <w:bCs/>
          <w:i/>
          <w:iCs/>
          <w:sz w:val="20"/>
          <w:szCs w:val="20"/>
        </w:rPr>
        <w:t xml:space="preserve">Project Engineer</w:t>
      </w:r>
      <w:r>
        <w:rPr>
          <w:sz w:val="20"/>
          <w:szCs w:val="20"/>
        </w:rPr>
        <w:t xml:space="preserve">  —  </w:t>
      </w:r>
      <w:r>
        <w:rPr>
          <w:i/>
          <w:iCs/>
          <w:color w:val="595959"/>
          <w:sz w:val="20"/>
          <w:szCs w:val="20"/>
        </w:rPr>
        <w:t xml:space="preserve">October 2013 to June 2015</w:t>
      </w:r>
    </w:p>
    <w:p>
      <w:pPr>
        <w:pStyle w:val="ListParagraph"/>
        <w:numPr>
          <w:ilvl w:val="0"/>
          <w:numId w:val="2"/>
        </w:numPr>
        <w:spacing w:after="20"/>
      </w:pPr>
      <w:r>
        <w:rPr>
          <w:sz w:val="20"/>
          <w:szCs w:val="20"/>
        </w:rPr>
        <w:t xml:space="preserve">$120M, 300,000 SF data center renovation; managed $20M+ in architectural and structural subcontracts</w:t>
      </w:r>
    </w:p>
    <w:p>
      <w:pPr>
        <w:spacing w:after="0" w:before="100"/>
      </w:pPr>
      <w:r>
        <w:rPr>
          <w:b/>
          <w:bCs/>
          <w:sz w:val="22"/>
          <w:szCs w:val="22"/>
        </w:rPr>
        <w:t xml:space="preserve">Kisinger Campo &amp; Associates</w:t>
      </w:r>
      <w:r>
        <w:rPr>
          <w:sz w:val="22"/>
          <w:szCs w:val="22"/>
        </w:rPr>
        <w:t xml:space="preserve">  ·  </w:t>
      </w:r>
      <w:r>
        <w:rPr>
          <w:color w:val="595959"/>
          <w:sz w:val="22"/>
          <w:szCs w:val="22"/>
        </w:rPr>
        <w:t xml:space="preserve">Tampa, FL</w:t>
      </w:r>
    </w:p>
    <w:p>
      <w:pPr>
        <w:spacing w:after="40" w:before="80"/>
      </w:pPr>
      <w:r>
        <w:rPr>
          <w:b/>
          <w:bCs/>
          <w:i/>
          <w:iCs/>
          <w:sz w:val="20"/>
          <w:szCs w:val="20"/>
        </w:rPr>
        <w:t xml:space="preserve">Stormwater Engineer</w:t>
      </w:r>
      <w:r>
        <w:rPr>
          <w:sz w:val="20"/>
          <w:szCs w:val="20"/>
        </w:rPr>
        <w:t xml:space="preserve">  —  </w:t>
      </w:r>
      <w:r>
        <w:rPr>
          <w:i/>
          <w:iCs/>
          <w:color w:val="595959"/>
          <w:sz w:val="20"/>
          <w:szCs w:val="20"/>
        </w:rPr>
        <w:t xml:space="preserve">May 2012 to October 2013</w:t>
      </w:r>
    </w:p>
    <w:p>
      <w:pPr>
        <w:pStyle w:val="ListParagraph"/>
        <w:numPr>
          <w:ilvl w:val="0"/>
          <w:numId w:val="2"/>
        </w:numPr>
        <w:spacing w:after="20"/>
      </w:pPr>
      <w:r>
        <w:rPr>
          <w:sz w:val="20"/>
          <w:szCs w:val="20"/>
        </w:rPr>
        <w:t xml:space="preserve">FDOT highway drainage, detention/retention pond sizing, FDOT spread and floodplain compliance</w:t>
      </w:r>
    </w:p>
    <w:p>
      <w:pPr>
        <w:pBdr>
          <w:bottom w:val="single" w:color="094C7B" w:sz="6" w:space="2"/>
        </w:pBdr>
        <w:spacing w:after="60" w:before="140"/>
      </w:pPr>
      <w:r>
        <w:rPr>
          <w:rFonts w:ascii="Calibri" w:cs="Calibri" w:eastAsia="Calibri" w:hAnsi="Calibri"/>
          <w:b/>
          <w:bCs/>
          <w:color w:val="094C7B"/>
          <w:sz w:val="22"/>
          <w:szCs w:val="22"/>
        </w:rPr>
        <w:t xml:space="preserve">SELECTED PROJECT EXPERIENCE</w:t>
      </w:r>
    </w:p>
    <w:p>
      <w:pPr>
        <w:spacing w:after="20" w:before="100"/>
      </w:pPr>
      <w:r>
        <w:rPr>
          <w:b/>
          <w:bCs/>
          <w:sz w:val="21"/>
          <w:szCs w:val="21"/>
        </w:rPr>
        <w:t xml:space="preserve">Hebron Parkway Reconstruction</w:t>
      </w:r>
      <w:r>
        <w:rPr>
          <w:sz w:val="21"/>
          <w:szCs w:val="21"/>
        </w:rPr>
        <w:t xml:space="preserve">  ·  </w:t>
      </w:r>
      <w:r>
        <w:rPr>
          <w:i/>
          <w:iCs/>
          <w:color w:val="595959"/>
          <w:sz w:val="21"/>
          <w:szCs w:val="21"/>
        </w:rPr>
        <w:t xml:space="preserve">City of Carrollton  ·  won January 2025  ·  $2.1M  ·  9,300 LF</w:t>
      </w:r>
    </w:p>
    <w:p>
      <w:pPr>
        <w:spacing w:after="20"/>
      </w:pPr>
      <w:r>
        <w:rPr>
          <w:sz w:val="20"/>
          <w:szCs w:val="20"/>
        </w:rPr>
        <w:t xml:space="preserve">PM. Led pursuit and SOQ for full reconstruction of 1.8 miles of arterial — roadway, drainage, and pedestrian improvements. </w:t>
      </w:r>
      <w:r>
        <w:rPr>
          <w:sz w:val="20"/>
          <w:szCs w:val="20"/>
          <w:shd w:fill="FFFF00" w:val="clear"/>
        </w:rPr>
        <w:t xml:space="preserve">[PLACEHOLDER: outcome — e.g., 'design tracking [X] weeks ahead of [Y]-month baseline schedule' / 'coming in at [X]% under fee budget through [milestone]' / 'won against [N] competing firms']</w:t>
      </w:r>
      <w:r>
        <w:rPr>
          <w:sz w:val="20"/>
          <w:szCs w:val="20"/>
        </w:rPr>
        <w:t xml:space="preserve">.</w:t>
      </w:r>
    </w:p>
    <w:p>
      <w:pPr>
        <w:spacing w:after="20" w:before="100"/>
      </w:pPr>
      <w:r>
        <w:rPr>
          <w:b/>
          <w:bCs/>
          <w:sz w:val="21"/>
          <w:szCs w:val="21"/>
        </w:rPr>
        <w:t xml:space="preserve">Iron Horse Boulevard Reconstruction</w:t>
      </w:r>
      <w:r>
        <w:rPr>
          <w:sz w:val="21"/>
          <w:szCs w:val="21"/>
        </w:rPr>
        <w:t xml:space="preserve">  ·  </w:t>
      </w:r>
      <w:r>
        <w:rPr>
          <w:i/>
          <w:iCs/>
          <w:color w:val="595959"/>
          <w:sz w:val="21"/>
          <w:szCs w:val="21"/>
        </w:rPr>
        <w:t xml:space="preserve">City of North Richland Hills  ·  completed September 2024  ·  $5.9M  ·  4,500 LF</w:t>
      </w:r>
    </w:p>
    <w:p>
      <w:pPr>
        <w:spacing w:after="20"/>
      </w:pPr>
      <w:r>
        <w:rPr>
          <w:sz w:val="20"/>
          <w:szCs w:val="20"/>
        </w:rPr>
        <w:t xml:space="preserve">PM. Rightsized a five-lane industrial collector to a two-lane median-divided residential collector within existing ROW; negotiated reduced clearance variance at a high-pressure gas crossing to avoid costly structural work. EDA-compliant for COVID-19 funding. Performance led to follow-on award of Chapman Road reconstruction (currently in design).</w:t>
      </w:r>
    </w:p>
    <w:p>
      <w:pPr>
        <w:spacing w:after="20" w:before="100"/>
      </w:pPr>
      <w:r>
        <w:rPr>
          <w:b/>
          <w:bCs/>
          <w:sz w:val="21"/>
          <w:szCs w:val="21"/>
        </w:rPr>
        <w:t xml:space="preserve">The Colony Phase XII and XIII Street Reconstruction</w:t>
      </w:r>
      <w:r>
        <w:rPr>
          <w:sz w:val="21"/>
          <w:szCs w:val="21"/>
        </w:rPr>
        <w:t xml:space="preserve">  ·  </w:t>
      </w:r>
      <w:r>
        <w:rPr>
          <w:i/>
          <w:iCs/>
          <w:color w:val="595959"/>
          <w:sz w:val="21"/>
          <w:szCs w:val="21"/>
        </w:rPr>
        <w:t xml:space="preserve">City of The Colony  ·  completed 2024 and 2025  ·  $3.5M / 3,100 LF and $4.6M / 3,400 LF</w:t>
      </w:r>
    </w:p>
    <w:p>
      <w:pPr>
        <w:spacing w:after="20"/>
      </w:pPr>
      <w:r>
        <w:rPr>
          <w:sz w:val="20"/>
          <w:szCs w:val="20"/>
        </w:rPr>
        <w:t xml:space="preserve">PM. Full reconstruction of 1970s-era residential streets — paving, drainage, water, sanitary sewer. Phase XIII held existing top-of-curb elevations along Pemberton Lane to preserve ADA-compliant direct sidewalk connections within constrained ROW. Both phases delivered under engineer’s estimate.</w:t>
      </w:r>
    </w:p>
    <w:p>
      <w:pPr>
        <w:spacing w:after="20" w:before="100"/>
      </w:pPr>
      <w:r>
        <w:rPr>
          <w:b/>
          <w:bCs/>
          <w:sz w:val="21"/>
          <w:szCs w:val="21"/>
        </w:rPr>
        <w:t xml:space="preserve">Downtown Celina Streets — Arizona and Colorado Drives</w:t>
      </w:r>
      <w:r>
        <w:rPr>
          <w:sz w:val="21"/>
          <w:szCs w:val="21"/>
        </w:rPr>
        <w:t xml:space="preserve">  ·  </w:t>
      </w:r>
      <w:r>
        <w:rPr>
          <w:i/>
          <w:iCs/>
          <w:color w:val="595959"/>
          <w:sz w:val="21"/>
          <w:szCs w:val="21"/>
        </w:rPr>
        <w:t xml:space="preserve">City of Celina  ·  completed July 2025  ·  $3.2M  ·  1,200 LF</w:t>
      </w:r>
    </w:p>
    <w:p>
      <w:pPr>
        <w:spacing w:after="20"/>
      </w:pPr>
      <w:r>
        <w:rPr>
          <w:sz w:val="20"/>
          <w:szCs w:val="20"/>
        </w:rPr>
        <w:t xml:space="preserve">PM. Converted failing asphalt streets with roadside ditches to concrete curb-and-gutter with new storm sewer, supporting the City’s downtown revitalization. Performance led to follow-on award of Ohio and Louisiana Drives and selection to manage the multi-phase Downtown Street Replacement Program valued at </w:t>
      </w:r>
      <w:r>
        <w:rPr>
          <w:sz w:val="20"/>
          <w:szCs w:val="20"/>
          <w:shd w:fill="FFFF00" w:val="clear"/>
        </w:rPr>
        <w:t xml:space="preserve">[PLACEHOLDER: $XXM / N phases]</w:t>
      </w:r>
      <w:r>
        <w:rPr>
          <w:sz w:val="20"/>
          <w:szCs w:val="20"/>
        </w:rPr>
        <w:t xml:space="preserve">.</w:t>
      </w:r>
    </w:p>
    <w:p>
      <w:pPr>
        <w:spacing w:after="20" w:before="100"/>
      </w:pPr>
      <w:r>
        <w:rPr>
          <w:b/>
          <w:bCs/>
          <w:sz w:val="21"/>
          <w:szCs w:val="21"/>
        </w:rPr>
        <w:t xml:space="preserve">Church, Henry, and McKinney Area Improvements</w:t>
      </w:r>
      <w:r>
        <w:rPr>
          <w:sz w:val="21"/>
          <w:szCs w:val="21"/>
        </w:rPr>
        <w:t xml:space="preserve">  ·  </w:t>
      </w:r>
      <w:r>
        <w:rPr>
          <w:i/>
          <w:iCs/>
          <w:color w:val="595959"/>
          <w:sz w:val="21"/>
          <w:szCs w:val="21"/>
        </w:rPr>
        <w:t xml:space="preserve">City of McKinney  ·  in design  ·  ~3,600 LF</w:t>
      </w:r>
    </w:p>
    <w:p>
      <w:pPr>
        <w:spacing w:after="20"/>
      </w:pPr>
      <w:r>
        <w:rPr>
          <w:sz w:val="20"/>
          <w:szCs w:val="20"/>
        </w:rPr>
        <w:t xml:space="preserve">PM. Reconstruction of six streets in McKinney’s historic downtown cultural district — alleys to two-lane residential. ROW-constrained sidewalk widening, full storm/water/sanitary replacement, offsite utility design through residential easements, and Section 106 coordination with an adjacent National Register property.</w:t>
      </w:r>
    </w:p>
    <w:p>
      <w:pPr>
        <w:spacing w:after="20" w:before="100"/>
      </w:pPr>
      <w:r>
        <w:rPr>
          <w:b/>
          <w:bCs/>
          <w:sz w:val="21"/>
          <w:szCs w:val="21"/>
        </w:rPr>
        <w:t xml:space="preserve">Choate Parkway Realignment</w:t>
      </w:r>
      <w:r>
        <w:rPr>
          <w:sz w:val="21"/>
          <w:szCs w:val="21"/>
        </w:rPr>
        <w:t xml:space="preserve">  ·  </w:t>
      </w:r>
      <w:r>
        <w:rPr>
          <w:i/>
          <w:iCs/>
          <w:color w:val="595959"/>
          <w:sz w:val="21"/>
          <w:szCs w:val="21"/>
        </w:rPr>
        <w:t xml:space="preserve">City of Celina  ·  completed 2023  ·  ~2,000 LF</w:t>
      </w:r>
    </w:p>
    <w:p>
      <w:pPr>
        <w:spacing w:after="20"/>
      </w:pPr>
      <w:r>
        <w:rPr>
          <w:sz w:val="20"/>
          <w:szCs w:val="20"/>
        </w:rPr>
        <w:t xml:space="preserve">PM. Realigned a two-lane asphalt rural collector to a four-lane divided urban collector with curbed median, dedicated turn lanes, two-lane roundabout at the Collin College frontage, and 10-foot shared-use path. Designed Halff’s first two-lane roundabout in Texas; passed multiple third-party traffic studies.</w:t>
      </w:r>
    </w:p>
    <w:p>
      <w:pPr>
        <w:pBdr>
          <w:bottom w:val="single" w:color="094C7B" w:sz="6" w:space="2"/>
        </w:pBdr>
        <w:spacing w:after="60" w:before="140"/>
      </w:pPr>
      <w:r>
        <w:rPr>
          <w:rFonts w:ascii="Calibri" w:cs="Calibri" w:eastAsia="Calibri" w:hAnsi="Calibri"/>
          <w:b/>
          <w:bCs/>
          <w:color w:val="094C7B"/>
          <w:sz w:val="22"/>
          <w:szCs w:val="22"/>
        </w:rPr>
        <w:t xml:space="preserve">TECHNICAL PROFICIENCIES</w:t>
      </w:r>
    </w:p>
    <w:p>
      <w:pPr>
        <w:spacing w:after="30"/>
      </w:pPr>
      <w:r>
        <w:rPr>
          <w:b/>
          <w:bCs/>
          <w:sz w:val="20"/>
          <w:szCs w:val="20"/>
        </w:rPr>
        <w:t xml:space="preserve">Civil &amp; QC: </w:t>
      </w:r>
      <w:r>
        <w:rPr>
          <w:sz w:val="20"/>
          <w:szCs w:val="20"/>
        </w:rPr>
        <w:t xml:space="preserve">Civil 3D, MicroStation, GEOPAK Drainage; Bluebeam Revu (Studio sessions, custom QC tool palettes); HY-8 and drainage design (Rational Method, NCIS); HEC-RAS familiarity.</w:t>
      </w:r>
    </w:p>
    <w:p>
      <w:pPr>
        <w:spacing w:after="30"/>
      </w:pPr>
      <w:r>
        <w:rPr>
          <w:b/>
          <w:bCs/>
          <w:sz w:val="20"/>
          <w:szCs w:val="20"/>
        </w:rPr>
        <w:t xml:space="preserve">Applied AI &amp; Automation: </w:t>
      </w:r>
      <w:r>
        <w:rPr>
          <w:sz w:val="20"/>
          <w:szCs w:val="20"/>
        </w:rPr>
        <w:t xml:space="preserve">Hands-on use of commercial LLM APIs (Anthropic, OpenAI) to build internal Python, JavaScript, and AutoLISP tools deployed into team production workflows.</w:t>
      </w:r>
    </w:p>
    <w:p>
      <w:pPr>
        <w:pBdr>
          <w:bottom w:val="single" w:color="094C7B" w:sz="6" w:space="2"/>
        </w:pBdr>
        <w:spacing w:after="60" w:before="140"/>
      </w:pPr>
      <w:r>
        <w:rPr>
          <w:rFonts w:ascii="Calibri" w:cs="Calibri" w:eastAsia="Calibri" w:hAnsi="Calibri"/>
          <w:b/>
          <w:bCs/>
          <w:color w:val="094C7B"/>
          <w:sz w:val="22"/>
          <w:szCs w:val="22"/>
        </w:rPr>
        <w:t xml:space="preserve">EDUCATION</w:t>
      </w:r>
    </w:p>
    <w:p>
      <w:pPr>
        <w:spacing w:after="40"/>
      </w:pPr>
      <w:r>
        <w:rPr>
          <w:b/>
          <w:bCs/>
          <w:sz w:val="20"/>
          <w:szCs w:val="20"/>
        </w:rPr>
        <w:t xml:space="preserve">University of Florida</w:t>
      </w:r>
      <w:r>
        <w:rPr>
          <w:color w:val="595959"/>
          <w:sz w:val="20"/>
          <w:szCs w:val="20"/>
        </w:rPr>
        <w:t xml:space="preserve"> — Gainesville, FL  ·  </w:t>
      </w:r>
      <w:r>
        <w:rPr>
          <w:sz w:val="20"/>
          <w:szCs w:val="20"/>
        </w:rPr>
        <w:t xml:space="preserve">MS, Civil Engineering (2014)  ·  BS, Civil Engineering, Cum Laude (2011)</w:t>
      </w:r>
    </w:p>
    <w:p>
      <w:pPr>
        <w:pBdr>
          <w:bottom w:val="single" w:color="094C7B" w:sz="6" w:space="2"/>
        </w:pBdr>
        <w:spacing w:after="60" w:before="140"/>
      </w:pPr>
      <w:r>
        <w:rPr>
          <w:rFonts w:ascii="Calibri" w:cs="Calibri" w:eastAsia="Calibri" w:hAnsi="Calibri"/>
          <w:b/>
          <w:bCs/>
          <w:color w:val="094C7B"/>
          <w:sz w:val="22"/>
          <w:szCs w:val="22"/>
        </w:rPr>
        <w:t xml:space="preserve">LICENSES &amp; CERTIFICATIONS</w:t>
      </w:r>
    </w:p>
    <w:p>
      <w:pPr>
        <w:pStyle w:val="ListParagraph"/>
        <w:numPr>
          <w:ilvl w:val="0"/>
          <w:numId w:val="2"/>
        </w:numPr>
        <w:spacing w:after="20"/>
      </w:pPr>
      <w:r>
        <w:rPr>
          <w:sz w:val="20"/>
          <w:szCs w:val="20"/>
        </w:rPr>
        <w:t xml:space="preserve">Professional Engineer (PE), Texas — License No. 121874</w:t>
      </w:r>
    </w:p>
    <w:p>
      <w:pPr>
        <w:pStyle w:val="ListParagraph"/>
        <w:numPr>
          <w:ilvl w:val="0"/>
          <w:numId w:val="2"/>
        </w:numPr>
        <w:spacing w:after="20"/>
      </w:pPr>
      <w:r>
        <w:rPr>
          <w:sz w:val="20"/>
          <w:szCs w:val="20"/>
        </w:rPr>
        <w:t xml:space="preserve">Certified Floodplain Manager (CFM), TFMA — No. 3116-16N</w:t>
      </w:r>
    </w:p>
    <w:p>
      <w:pPr>
        <w:pBdr>
          <w:bottom w:val="single" w:color="094C7B" w:sz="6" w:space="2"/>
        </w:pBdr>
        <w:spacing w:after="60" w:before="140"/>
      </w:pPr>
      <w:r>
        <w:rPr>
          <w:rFonts w:ascii="Calibri" w:cs="Calibri" w:eastAsia="Calibri" w:hAnsi="Calibri"/>
          <w:b/>
          <w:bCs/>
          <w:color w:val="094C7B"/>
          <w:sz w:val="22"/>
          <w:szCs w:val="22"/>
        </w:rPr>
        <w:t xml:space="preserve">HONORS</w:t>
      </w:r>
    </w:p>
    <w:p>
      <w:pPr>
        <w:pStyle w:val="ListParagraph"/>
        <w:numPr>
          <w:ilvl w:val="0"/>
          <w:numId w:val="2"/>
        </w:numPr>
        <w:spacing w:after="20"/>
      </w:pPr>
      <w:r>
        <w:rPr>
          <w:b/>
          <w:bCs/>
          <w:sz w:val="20"/>
          <w:szCs w:val="20"/>
        </w:rPr>
        <w:t xml:space="preserve">2022 Young Engineer of the Year</w:t>
      </w:r>
      <w:r>
        <w:rPr>
          <w:sz w:val="20"/>
          <w:szCs w:val="20"/>
        </w:rPr>
        <w:t xml:space="preserve">, TSPE Preston Trail Chapter</w:t>
      </w:r>
    </w:p>
    <w:p>
      <w:pPr>
        <w:pStyle w:val="ListParagraph"/>
        <w:numPr>
          <w:ilvl w:val="0"/>
          <w:numId w:val="2"/>
        </w:numPr>
        <w:spacing w:after="40"/>
      </w:pPr>
      <w:r>
        <w:rPr>
          <w:b/>
          <w:bCs/>
          <w:sz w:val="20"/>
          <w:szCs w:val="20"/>
        </w:rPr>
        <w:t xml:space="preserve">Eagle Scout</w:t>
      </w:r>
      <w:r>
        <w:rPr>
          <w:sz w:val="20"/>
          <w:szCs w:val="20"/>
        </w:rPr>
        <w:t xml:space="preserve">, Boy Scouts of America</w:t>
      </w:r>
    </w:p>
    <w:p>
      <w:pPr>
        <w:pBdr>
          <w:bottom w:val="single" w:color="094C7B" w:sz="6" w:space="2"/>
        </w:pBdr>
        <w:spacing w:after="60" w:before="140"/>
      </w:pPr>
      <w:r>
        <w:rPr>
          <w:rFonts w:ascii="Calibri" w:cs="Calibri" w:eastAsia="Calibri" w:hAnsi="Calibri"/>
          <w:b/>
          <w:bCs/>
          <w:color w:val="094C7B"/>
          <w:sz w:val="22"/>
          <w:szCs w:val="22"/>
        </w:rPr>
        <w:t xml:space="preserve">PROFESSIONAL INVOLVEMENT</w:t>
      </w:r>
    </w:p>
    <w:p>
      <w:pPr>
        <w:spacing w:after="60"/>
      </w:pPr>
      <w:r>
        <w:rPr>
          <w:b/>
          <w:bCs/>
          <w:sz w:val="20"/>
          <w:szCs w:val="20"/>
        </w:rPr>
        <w:t xml:space="preserve">Texas Society of Professional Engineers</w:t>
      </w:r>
      <w:r>
        <w:rPr>
          <w:sz w:val="20"/>
          <w:szCs w:val="20"/>
        </w:rPr>
        <w:t xml:space="preserve"> (2018–2024) — Director (multiple terms), MATHCOUNTS Co-Chair, Member Outreach Committee Chair, Membership Committee Chair, State Young Engineer Committee Member</w:t>
      </w:r>
    </w:p>
    <w:p>
      <w:pPr>
        <w:spacing w:after="60"/>
      </w:pPr>
      <w:r>
        <w:rPr>
          <w:b/>
          <w:bCs/>
          <w:sz w:val="20"/>
          <w:szCs w:val="20"/>
        </w:rPr>
        <w:t xml:space="preserve">ASCE, APWA, TFMA</w:t>
      </w:r>
      <w:r>
        <w:rPr>
          <w:sz w:val="20"/>
          <w:szCs w:val="20"/>
        </w:rPr>
        <w:t xml:space="preserve"> — periodic chapter meeting attendance; ASCE Dallas Branch half-day conference (2025); APWA Texas Chapter conference, San Antonio (2025)</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Brent Billington Resume</dc:title>
  <dc:creator>Brent Billington</dc:creator>
  <cp:lastModifiedBy>Un-named</cp:lastModifiedBy>
  <cp:revision>1</cp:revision>
  <dcterms:created xsi:type="dcterms:W3CDTF">2026-05-05T04:12:21.346Z</dcterms:created>
  <dcterms:modified xsi:type="dcterms:W3CDTF">2026-05-05T04:12:21.348Z</dcterms:modified>
</cp:coreProperties>
</file>

<file path=docProps/custom.xml><?xml version="1.0" encoding="utf-8"?>
<Properties xmlns="http://schemas.openxmlformats.org/officeDocument/2006/custom-properties" xmlns:vt="http://schemas.openxmlformats.org/officeDocument/2006/docPropsVTypes"/>
</file>