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9BC8" w14:textId="77777777" w:rsidR="00A862F4" w:rsidRDefault="00000000" w:rsidP="006364B4">
      <w:pPr>
        <w:spacing w:line="360" w:lineRule="auto"/>
        <w:jc w:val="center"/>
        <w:rPr>
          <w:rFonts w:ascii="Garamond" w:eastAsia="Garamond" w:hAnsi="Garamond" w:cs="Garamond"/>
          <w:b/>
          <w:bCs/>
          <w:sz w:val="24"/>
          <w:szCs w:val="24"/>
        </w:rPr>
      </w:pPr>
      <w:r>
        <w:rPr>
          <w:rFonts w:ascii="Garamond" w:eastAsia="Garamond" w:hAnsi="Garamond" w:cs="Garamond"/>
          <w:b/>
          <w:bCs/>
          <w:sz w:val="24"/>
          <w:szCs w:val="24"/>
        </w:rPr>
        <w:t>PHILIPPINE STARTUP CHALLENGE XI</w:t>
      </w:r>
    </w:p>
    <w:p w14:paraId="33035187" w14:textId="7330D1E0" w:rsidR="00A862F4" w:rsidRDefault="00934EA8" w:rsidP="006364B4">
      <w:pPr>
        <w:spacing w:line="360" w:lineRule="auto"/>
        <w:jc w:val="center"/>
        <w:rPr>
          <w:rFonts w:ascii="Palatino Linotype" w:eastAsia="Palatino Linotype" w:hAnsi="Palatino Linotype" w:cs="Palatino Linotype"/>
        </w:rPr>
      </w:pPr>
      <w:proofErr w:type="spellStart"/>
      <w:r>
        <w:rPr>
          <w:rFonts w:ascii="Palatino Linotype" w:eastAsia="Palatino Linotype" w:hAnsi="Palatino Linotype" w:cs="Palatino Linotype"/>
        </w:rPr>
        <w:t>UnDecided</w:t>
      </w:r>
      <w:proofErr w:type="spellEnd"/>
    </w:p>
    <w:p w14:paraId="4A14C081" w14:textId="3C8A2490" w:rsidR="00A862F4" w:rsidRPr="00E26EF0" w:rsidRDefault="00AB043A" w:rsidP="006364B4">
      <w:pPr>
        <w:spacing w:line="36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VITAL: </w:t>
      </w:r>
      <w:r w:rsidR="00E26EF0">
        <w:rPr>
          <w:rFonts w:ascii="Palatino Linotype" w:eastAsia="Palatino Linotype" w:hAnsi="Palatino Linotype" w:cs="Palatino Linotype"/>
        </w:rPr>
        <w:t xml:space="preserve">Virtual Integrated Transfer and Access Link </w:t>
      </w:r>
    </w:p>
    <w:p w14:paraId="787803E8" w14:textId="604AC8BB" w:rsidR="00A862F4" w:rsidRDefault="00000000" w:rsidP="006364B4">
      <w:pPr>
        <w:spacing w:line="360" w:lineRule="auto"/>
        <w:jc w:val="center"/>
        <w:rPr>
          <w:rFonts w:ascii="Palatino Linotype" w:eastAsia="Palatino Linotype" w:hAnsi="Palatino Linotype" w:cs="Palatino Linotype"/>
          <w:b/>
          <w:bCs/>
        </w:rPr>
      </w:pPr>
      <w:r>
        <w:rPr>
          <w:rFonts w:ascii="Palatino Linotype" w:eastAsia="Palatino Linotype" w:hAnsi="Palatino Linotype" w:cs="Palatino Linotype"/>
          <w:b/>
          <w:bCs/>
        </w:rPr>
        <w:t xml:space="preserve"> CONCEPT NOTE</w:t>
      </w:r>
    </w:p>
    <w:p w14:paraId="2F3AC29C"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SUMMARY</w:t>
      </w:r>
    </w:p>
    <w:p w14:paraId="587F2430" w14:textId="3F4D4F9F" w:rsidR="002C7C51" w:rsidRDefault="00E26EF0" w:rsidP="006364B4">
      <w:pPr>
        <w:spacing w:line="360" w:lineRule="auto"/>
        <w:ind w:left="720" w:firstLine="720"/>
        <w:jc w:val="both"/>
        <w:rPr>
          <w:rFonts w:ascii="Palatino Linotype" w:eastAsia="Palatino Linotype" w:hAnsi="Palatino Linotype" w:cs="Palatino Linotype"/>
        </w:rPr>
      </w:pPr>
      <w:r>
        <w:rPr>
          <w:rFonts w:ascii="Palatino Linotype" w:eastAsia="Palatino Linotype" w:hAnsi="Palatino Linotype" w:cs="Palatino Linotype"/>
          <w:b/>
          <w:bCs/>
        </w:rPr>
        <w:t>VITAL</w:t>
      </w:r>
      <w:r w:rsidR="0027541A" w:rsidRPr="0027541A">
        <w:rPr>
          <w:rFonts w:ascii="Palatino Linotype" w:eastAsia="Palatino Linotype" w:hAnsi="Palatino Linotype" w:cs="Palatino Linotype"/>
        </w:rPr>
        <w:t xml:space="preserve"> is a patient-controlled digital health connectivity platform that links Rural Health Units (RHUs), clinics, laboratories, hospitals, and specialists through a shared, secure referral and records system. Patients keep a free digital “Health Wallet” of their records and referrals, while healthcare providers subscribe to a Referral &amp; Connectivity Network that lets them create, send, track, and receive digital referrals and results — reducing avoidable administrative delays and keeping patient information portable across the fragmented Philippine referral system, without replacing clinical decision-making.</w:t>
      </w:r>
    </w:p>
    <w:p w14:paraId="7544E3FF" w14:textId="77777777" w:rsidR="006364B4" w:rsidRPr="0027541A" w:rsidRDefault="006364B4" w:rsidP="006364B4">
      <w:pPr>
        <w:spacing w:line="360" w:lineRule="auto"/>
        <w:ind w:left="720" w:firstLine="720"/>
        <w:jc w:val="both"/>
        <w:rPr>
          <w:rFonts w:ascii="Palatino Linotype" w:eastAsia="Palatino Linotype" w:hAnsi="Palatino Linotype" w:cs="Palatino Linotype"/>
        </w:rPr>
      </w:pPr>
    </w:p>
    <w:p w14:paraId="1C4ECBBF"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BACKGROUND OF THE PROBLEM</w:t>
      </w:r>
    </w:p>
    <w:p w14:paraId="22F81AFB" w14:textId="5D423A1D" w:rsidR="002C7C51" w:rsidRDefault="0027541A" w:rsidP="006364B4">
      <w:pPr>
        <w:spacing w:line="360" w:lineRule="auto"/>
        <w:ind w:left="720" w:firstLine="720"/>
        <w:jc w:val="both"/>
        <w:rPr>
          <w:rFonts w:ascii="Palatino Linotype" w:eastAsia="Palatino Linotype" w:hAnsi="Palatino Linotype" w:cs="Palatino Linotype"/>
        </w:rPr>
      </w:pPr>
      <w:r w:rsidRPr="0027541A">
        <w:rPr>
          <w:rFonts w:ascii="Palatino Linotype" w:eastAsia="Palatino Linotype" w:hAnsi="Palatino Linotype" w:cs="Palatino Linotype"/>
        </w:rPr>
        <w:t>Patient records in the Philippines are scattered across paper referrals, printed results, and disconnected facility systems, leaving receiving providers without timely access to a patient's history. The Universal Health Care Act of 2019 mandates LGU-centric provider networks built on interoperable health information exchange (Republic Act No. 11223, 2019), yet recent stud</w:t>
      </w:r>
      <w:r w:rsidR="004A2741">
        <w:rPr>
          <w:rFonts w:ascii="Palatino Linotype" w:eastAsia="Palatino Linotype" w:hAnsi="Palatino Linotype" w:cs="Palatino Linotype"/>
        </w:rPr>
        <w:t>y on the “</w:t>
      </w:r>
      <w:r w:rsidR="004A2741" w:rsidRPr="00D64660">
        <w:rPr>
          <w:rFonts w:ascii="Palatino Linotype" w:eastAsia="Palatino Linotype" w:hAnsi="Palatino Linotype" w:cs="Palatino Linotype"/>
          <w:i/>
          <w:iCs/>
        </w:rPr>
        <w:t>Development and Implementation of an Interoperable Local Health Information Exchange Platform for the Attainment of Universal Health Coverage in the Philippines</w:t>
      </w:r>
      <w:r w:rsidR="004A2741">
        <w:rPr>
          <w:rFonts w:ascii="Palatino Linotype" w:eastAsia="Palatino Linotype" w:hAnsi="Palatino Linotype" w:cs="Palatino Linotype"/>
        </w:rPr>
        <w:t>”</w:t>
      </w:r>
      <w:r w:rsidRPr="0027541A">
        <w:rPr>
          <w:rFonts w:ascii="Palatino Linotype" w:eastAsia="Palatino Linotype" w:hAnsi="Palatino Linotype" w:cs="Palatino Linotype"/>
        </w:rPr>
        <w:t xml:space="preserve"> confirm</w:t>
      </w:r>
      <w:r w:rsidR="00D64660">
        <w:rPr>
          <w:rFonts w:ascii="Palatino Linotype" w:eastAsia="Palatino Linotype" w:hAnsi="Palatino Linotype" w:cs="Palatino Linotype"/>
        </w:rPr>
        <w:t>s</w:t>
      </w:r>
      <w:r w:rsidRPr="0027541A">
        <w:rPr>
          <w:rFonts w:ascii="Palatino Linotype" w:eastAsia="Palatino Linotype" w:hAnsi="Palatino Linotype" w:cs="Palatino Linotype"/>
        </w:rPr>
        <w:t xml:space="preserve"> that integrating existing facility-level systems into one functioning exchange remains an unresolved challenge for local governments</w:t>
      </w:r>
      <w:r w:rsidR="001F6491">
        <w:rPr>
          <w:rFonts w:ascii="Palatino Linotype" w:eastAsia="Palatino Linotype" w:hAnsi="Palatino Linotype" w:cs="Palatino Linotype"/>
        </w:rPr>
        <w:t xml:space="preserve"> – largely due to limited LGU technical capacity, fragmented funding across municipalities, and the absence of shared coordination standard between facilities</w:t>
      </w:r>
      <w:r w:rsidRPr="0027541A">
        <w:rPr>
          <w:rFonts w:ascii="Palatino Linotype" w:eastAsia="Palatino Linotype" w:hAnsi="Palatino Linotype" w:cs="Palatino Linotype"/>
        </w:rPr>
        <w:t xml:space="preserve"> (Zuniga et al., 2026).</w:t>
      </w:r>
      <w:r w:rsidR="00D64660">
        <w:rPr>
          <w:rFonts w:ascii="Palatino Linotype" w:eastAsia="Palatino Linotype" w:hAnsi="Palatino Linotype" w:cs="Palatino Linotype"/>
        </w:rPr>
        <w:t xml:space="preserve"> This challenge is echoed in a separate pilot of two electronic health record systems across urban, rural, and remote primary care sites in the Philippines, which found that acceptability and adoption varied sharply by setting – a single system designed for one context did not transfer cleanly to another, underscoring how difficult facility-level digitalization has been even before cross-provider referral connectivity is attempted (</w:t>
      </w:r>
      <w:proofErr w:type="spellStart"/>
      <w:r w:rsidR="00D64660">
        <w:rPr>
          <w:rFonts w:ascii="Palatino Linotype" w:eastAsia="Palatino Linotype" w:hAnsi="Palatino Linotype" w:cs="Palatino Linotype"/>
        </w:rPr>
        <w:t>Elepa</w:t>
      </w:r>
      <w:r w:rsidR="00D64660" w:rsidRPr="00D64660">
        <w:rPr>
          <w:rFonts w:ascii="Palatino Linotype" w:eastAsia="Palatino Linotype" w:hAnsi="Palatino Linotype" w:cs="Palatino Linotype"/>
        </w:rPr>
        <w:t>ñ</w:t>
      </w:r>
      <w:r w:rsidR="00D64660">
        <w:rPr>
          <w:rFonts w:ascii="Palatino Linotype" w:eastAsia="Palatino Linotype" w:hAnsi="Palatino Linotype" w:cs="Palatino Linotype"/>
        </w:rPr>
        <w:t>o</w:t>
      </w:r>
      <w:proofErr w:type="spellEnd"/>
      <w:r w:rsidR="00D64660">
        <w:rPr>
          <w:rFonts w:ascii="Palatino Linotype" w:eastAsia="Palatino Linotype" w:hAnsi="Palatino Linotype" w:cs="Palatino Linotype"/>
        </w:rPr>
        <w:t xml:space="preserve"> et al., 2025).</w:t>
      </w:r>
      <w:r w:rsidRPr="0027541A">
        <w:rPr>
          <w:rFonts w:ascii="Palatino Linotype" w:eastAsia="Palatino Linotype" w:hAnsi="Palatino Linotype" w:cs="Palatino Linotype"/>
        </w:rPr>
        <w:t xml:space="preserve"> The stakes of </w:t>
      </w:r>
      <w:r w:rsidRPr="0027541A">
        <w:rPr>
          <w:rFonts w:ascii="Palatino Linotype" w:eastAsia="Palatino Linotype" w:hAnsi="Palatino Linotype" w:cs="Palatino Linotype"/>
        </w:rPr>
        <w:lastRenderedPageBreak/>
        <w:t>this gap are measurable: a Philippine tertiary hospital found that simply structuring the referral workflow cut average referral time from 43.05 to 15.75 minutes (Tan, 2025), showing how much delay is currently lost to manual, uncoordinated processes rather than clinical necessity.</w:t>
      </w:r>
      <w:r w:rsidR="002F3310">
        <w:rPr>
          <w:rFonts w:ascii="Palatino Linotype" w:eastAsia="Palatino Linotype" w:hAnsi="Palatino Linotype" w:cs="Palatino Linotype"/>
        </w:rPr>
        <w:t xml:space="preserve"> </w:t>
      </w:r>
    </w:p>
    <w:p w14:paraId="0E46C0DC" w14:textId="77777777" w:rsidR="006364B4" w:rsidRPr="0027541A" w:rsidRDefault="006364B4" w:rsidP="006364B4">
      <w:pPr>
        <w:spacing w:line="360" w:lineRule="auto"/>
        <w:ind w:left="720" w:firstLine="720"/>
        <w:jc w:val="both"/>
        <w:rPr>
          <w:rFonts w:ascii="Palatino Linotype" w:eastAsia="Palatino Linotype" w:hAnsi="Palatino Linotype" w:cs="Palatino Linotype"/>
        </w:rPr>
      </w:pPr>
    </w:p>
    <w:p w14:paraId="2268E764"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PROPOSED STARTUP SOLUTION</w:t>
      </w:r>
    </w:p>
    <w:p w14:paraId="4CF0673A" w14:textId="77777777" w:rsidR="005C35EC" w:rsidRDefault="005C35EC" w:rsidP="005C35EC">
      <w:pPr>
        <w:spacing w:line="360" w:lineRule="auto"/>
        <w:ind w:left="709" w:firstLine="502"/>
        <w:jc w:val="both"/>
        <w:rPr>
          <w:rFonts w:ascii="Palatino Linotype" w:eastAsia="Palatino Linotype" w:hAnsi="Palatino Linotype" w:cs="Palatino Linotype"/>
          <w:b/>
          <w:bCs/>
        </w:rPr>
      </w:pPr>
      <w:r w:rsidRPr="005C35EC">
        <w:rPr>
          <w:rFonts w:ascii="Palatino Linotype" w:eastAsia="Palatino Linotype" w:hAnsi="Palatino Linotype" w:cs="Palatino Linotype"/>
          <w:b/>
          <w:bCs/>
        </w:rPr>
        <w:t xml:space="preserve">VITAL </w:t>
      </w:r>
      <w:r w:rsidRPr="005C35EC">
        <w:rPr>
          <w:rFonts w:ascii="Palatino Linotype" w:eastAsia="Palatino Linotype" w:hAnsi="Palatino Linotype" w:cs="Palatino Linotype"/>
        </w:rPr>
        <w:t>(Virtual Integrated Transfer and Access Link) is a patient-controlled digital health platform that links Rural Health Units, clinics, laboratories, hospitals, and specialists through a shared referral and records system, replacing paper-based routing. It works alongside each facility's existing records, using the patient's Health Wallet and consent as the connecting layer.</w:t>
      </w:r>
      <w:r w:rsidR="00062BD0">
        <w:rPr>
          <w:rFonts w:ascii="Palatino Linotype" w:eastAsia="Palatino Linotype" w:hAnsi="Palatino Linotype" w:cs="Palatino Linotype"/>
          <w:b/>
          <w:bCs/>
        </w:rPr>
        <w:tab/>
      </w:r>
    </w:p>
    <w:p w14:paraId="5D884A4D" w14:textId="42442FF3" w:rsidR="00062BD0" w:rsidRDefault="00062BD0" w:rsidP="005C35EC">
      <w:pPr>
        <w:spacing w:line="360" w:lineRule="auto"/>
        <w:ind w:firstLine="502"/>
        <w:jc w:val="both"/>
        <w:rPr>
          <w:rFonts w:ascii="Palatino Linotype" w:eastAsia="Palatino Linotype" w:hAnsi="Palatino Linotype" w:cs="Palatino Linotype"/>
        </w:rPr>
      </w:pPr>
      <w:r>
        <w:rPr>
          <w:rFonts w:ascii="Palatino Linotype" w:eastAsia="Palatino Linotype" w:hAnsi="Palatino Linotype" w:cs="Palatino Linotype"/>
          <w:b/>
          <w:bCs/>
        </w:rPr>
        <w:t>Core platform functions:</w:t>
      </w:r>
    </w:p>
    <w:p w14:paraId="6E290EA6"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Health Wallet</w:t>
      </w:r>
      <w:r w:rsidRPr="00062BD0">
        <w:rPr>
          <w:rFonts w:ascii="Palatino Linotype" w:eastAsia="Palatino Linotype" w:hAnsi="Palatino Linotype" w:cs="Palatino Linotype"/>
          <w:lang w:val="en-PH"/>
        </w:rPr>
        <w:t xml:space="preserve"> – a free, patient-owned digital record of medical history, prescriptions, lab results, referrals, and appointments, accessible from the patient's phone.</w:t>
      </w:r>
    </w:p>
    <w:p w14:paraId="3823EBB8"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Consent and Access Controls</w:t>
      </w:r>
      <w:r w:rsidRPr="00062BD0">
        <w:rPr>
          <w:rFonts w:ascii="Palatino Linotype" w:eastAsia="Palatino Linotype" w:hAnsi="Palatino Linotype" w:cs="Palatino Linotype"/>
          <w:lang w:val="en-PH"/>
        </w:rPr>
        <w:t xml:space="preserve"> – patients decide which facility can view which records, for how long, and can revoke access at any time. Every access is logged.</w:t>
      </w:r>
    </w:p>
    <w:p w14:paraId="5516BD98"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Digital Referral Creation</w:t>
      </w:r>
      <w:r w:rsidRPr="00062BD0">
        <w:rPr>
          <w:rFonts w:ascii="Palatino Linotype" w:eastAsia="Palatino Linotype" w:hAnsi="Palatino Linotype" w:cs="Palatino Linotype"/>
          <w:lang w:val="en-PH"/>
        </w:rPr>
        <w:t xml:space="preserve"> – the RHU or clinic doctor creates a referral in the portal, indicating the receiving facility or specialist, the reason for referral, relevant history, and attached results, replacing the handwritten paper referral slip.</w:t>
      </w:r>
    </w:p>
    <w:p w14:paraId="6474628F"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Referral Routing and Receiving</w:t>
      </w:r>
      <w:r w:rsidRPr="00062BD0">
        <w:rPr>
          <w:rFonts w:ascii="Palatino Linotype" w:eastAsia="Palatino Linotype" w:hAnsi="Palatino Linotype" w:cs="Palatino Linotype"/>
          <w:lang w:val="en-PH"/>
        </w:rPr>
        <w:t xml:space="preserve"> – the referral is sent digitally to the receiving facility, which can view the patient's referral history and results before the patient arrives, and accept or decline the referral.</w:t>
      </w:r>
    </w:p>
    <w:p w14:paraId="5FF5E8D4"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Referral Status Trail</w:t>
      </w:r>
      <w:r w:rsidRPr="00062BD0">
        <w:rPr>
          <w:rFonts w:ascii="Palatino Linotype" w:eastAsia="Palatino Linotype" w:hAnsi="Palatino Linotype" w:cs="Palatino Linotype"/>
          <w:lang w:val="en-PH"/>
        </w:rPr>
        <w:t xml:space="preserve"> – each referral moves through a timestamped trail (Created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Sent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Received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Accepted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Appointment Scheduled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Patient Arrived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Endorsed </w:t>
      </w:r>
      <w:r w:rsidRPr="00062BD0">
        <w:rPr>
          <w:rFonts w:ascii="Times New Roman" w:eastAsia="Palatino Linotype" w:hAnsi="Times New Roman" w:cs="Times New Roman"/>
          <w:lang w:val="en-PH"/>
        </w:rPr>
        <w:t>→</w:t>
      </w:r>
      <w:r w:rsidRPr="00062BD0">
        <w:rPr>
          <w:rFonts w:ascii="Palatino Linotype" w:eastAsia="Palatino Linotype" w:hAnsi="Palatino Linotype" w:cs="Palatino Linotype"/>
          <w:lang w:val="en-PH"/>
        </w:rPr>
        <w:t xml:space="preserve"> Completed), giving the referring RHU visibility into whether the patient actually reached the receiving facility.</w:t>
      </w:r>
    </w:p>
    <w:p w14:paraId="77F207E5"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Appointment Scheduling</w:t>
      </w:r>
      <w:r w:rsidRPr="00062BD0">
        <w:rPr>
          <w:rFonts w:ascii="Palatino Linotype" w:eastAsia="Palatino Linotype" w:hAnsi="Palatino Linotype" w:cs="Palatino Linotype"/>
          <w:lang w:val="en-PH"/>
        </w:rPr>
        <w:t xml:space="preserve"> – once a referral is accepted, the patient can book directly with the receiving facility through VITAL instead of coordinating separately by phone or in person.</w:t>
      </w:r>
    </w:p>
    <w:p w14:paraId="1B25D833"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lastRenderedPageBreak/>
        <w:t>Laboratory Results Delivery</w:t>
      </w:r>
      <w:r w:rsidRPr="00062BD0">
        <w:rPr>
          <w:rFonts w:ascii="Palatino Linotype" w:eastAsia="Palatino Linotype" w:hAnsi="Palatino Linotype" w:cs="Palatino Linotype"/>
          <w:lang w:val="en-PH"/>
        </w:rPr>
        <w:t xml:space="preserve"> – laboratories upload results directly to the referral record and the patient's wallet, reducing lost or misplaced hardcopy results and repeat tests.</w:t>
      </w:r>
    </w:p>
    <w:p w14:paraId="15E3E7AF"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Notifications and Reminders</w:t>
      </w:r>
      <w:r w:rsidRPr="00062BD0">
        <w:rPr>
          <w:rFonts w:ascii="Palatino Linotype" w:eastAsia="Palatino Linotype" w:hAnsi="Palatino Linotype" w:cs="Palatino Linotype"/>
          <w:lang w:val="en-PH"/>
        </w:rPr>
        <w:t xml:space="preserve"> – patients, referring facilities, and receiving facilities are notified of status changes, accepted referrals, appointment schedules, and available results.</w:t>
      </w:r>
    </w:p>
    <w:p w14:paraId="633BDF2B"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Standard and Priority Referral Recommendation</w:t>
      </w:r>
      <w:r w:rsidRPr="00062BD0">
        <w:rPr>
          <w:rFonts w:ascii="Palatino Linotype" w:eastAsia="Palatino Linotype" w:hAnsi="Palatino Linotype" w:cs="Palatino Linotype"/>
          <w:lang w:val="en-PH"/>
        </w:rPr>
        <w:t xml:space="preserve"> – the platform suggests suitable receiving facilities or specialists. Premium+ facilities receive prioritized recommendations for specialist transfers. The attending provider always makes the final decision.</w:t>
      </w:r>
    </w:p>
    <w:p w14:paraId="0AED501D"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System Integration Layer</w:t>
      </w:r>
      <w:r w:rsidRPr="00062BD0">
        <w:rPr>
          <w:rFonts w:ascii="Palatino Linotype" w:eastAsia="Palatino Linotype" w:hAnsi="Palatino Linotype" w:cs="Palatino Linotype"/>
          <w:lang w:val="en-PH"/>
        </w:rPr>
        <w:t xml:space="preserve"> – VITAL is designed to integrate with each provider's existing system rather than replace it, so facilities can connect without abandoning their current tools.</w:t>
      </w:r>
    </w:p>
    <w:p w14:paraId="4D2713B2" w14:textId="77777777" w:rsidR="00062BD0" w:rsidRPr="00062BD0" w:rsidRDefault="00062BD0" w:rsidP="00062BD0">
      <w:pPr>
        <w:numPr>
          <w:ilvl w:val="0"/>
          <w:numId w:val="10"/>
        </w:numPr>
        <w:tabs>
          <w:tab w:val="clear" w:pos="720"/>
          <w:tab w:val="num" w:pos="1276"/>
        </w:tabs>
        <w:spacing w:line="360" w:lineRule="auto"/>
        <w:ind w:left="1276" w:hanging="425"/>
        <w:jc w:val="both"/>
        <w:rPr>
          <w:rFonts w:ascii="Palatino Linotype" w:eastAsia="Palatino Linotype" w:hAnsi="Palatino Linotype" w:cs="Palatino Linotype"/>
          <w:lang w:val="en-PH"/>
        </w:rPr>
      </w:pPr>
      <w:r w:rsidRPr="005C35EC">
        <w:rPr>
          <w:rFonts w:ascii="Palatino Linotype" w:eastAsia="Palatino Linotype" w:hAnsi="Palatino Linotype" w:cs="Palatino Linotype"/>
          <w:b/>
          <w:bCs/>
          <w:lang w:val="en-PH"/>
        </w:rPr>
        <w:t>Security, Audit Logs and Administration</w:t>
      </w:r>
      <w:r w:rsidRPr="00062BD0">
        <w:rPr>
          <w:rFonts w:ascii="Palatino Linotype" w:eastAsia="Palatino Linotype" w:hAnsi="Palatino Linotype" w:cs="Palatino Linotype"/>
          <w:lang w:val="en-PH"/>
        </w:rPr>
        <w:t xml:space="preserve"> – role-based permissions, encryption, and audit trails protect patient data, while administrators manage facility accounts, verification, and reported issues.</w:t>
      </w:r>
    </w:p>
    <w:p w14:paraId="65C24302" w14:textId="77777777" w:rsidR="00062BD0" w:rsidRDefault="00062BD0" w:rsidP="005C35EC">
      <w:pPr>
        <w:tabs>
          <w:tab w:val="num" w:pos="1276"/>
        </w:tabs>
        <w:spacing w:line="360" w:lineRule="auto"/>
        <w:ind w:left="851"/>
        <w:jc w:val="both"/>
        <w:rPr>
          <w:rFonts w:ascii="Palatino Linotype" w:eastAsia="Palatino Linotype" w:hAnsi="Palatino Linotype" w:cs="Palatino Linotype"/>
          <w:lang w:val="en-PH"/>
        </w:rPr>
      </w:pPr>
    </w:p>
    <w:p w14:paraId="12979F44" w14:textId="446D7607" w:rsidR="005C35EC" w:rsidRPr="005C35EC" w:rsidRDefault="00062BD0" w:rsidP="005C35EC">
      <w:pPr>
        <w:spacing w:line="360" w:lineRule="auto"/>
        <w:ind w:left="720" w:firstLine="556"/>
        <w:jc w:val="both"/>
        <w:rPr>
          <w:rFonts w:ascii="Palatino Linotype" w:eastAsia="Palatino Linotype" w:hAnsi="Palatino Linotype" w:cs="Palatino Linotype"/>
        </w:rPr>
      </w:pPr>
      <w:r w:rsidRPr="00062BD0">
        <w:rPr>
          <w:rFonts w:ascii="Palatino Linotype" w:eastAsia="Palatino Linotype" w:hAnsi="Palatino Linotype" w:cs="Palatino Linotype"/>
          <w:b/>
          <w:bCs/>
        </w:rPr>
        <w:t xml:space="preserve">VITAL </w:t>
      </w:r>
      <w:r w:rsidRPr="00062BD0">
        <w:rPr>
          <w:rFonts w:ascii="Palatino Linotype" w:eastAsia="Palatino Linotype" w:hAnsi="Palatino Linotype" w:cs="Palatino Linotype"/>
        </w:rPr>
        <w:t>will initially focus on the referral and lab-result workflow between RHUs, clinics, and laboratories in Boho</w:t>
      </w:r>
      <w:r w:rsidR="005C35EC">
        <w:rPr>
          <w:rFonts w:ascii="Palatino Linotype" w:eastAsia="Palatino Linotype" w:hAnsi="Palatino Linotype" w:cs="Palatino Linotype"/>
        </w:rPr>
        <w:t>l</w:t>
      </w:r>
      <w:r w:rsidRPr="00062BD0">
        <w:rPr>
          <w:rFonts w:ascii="Palatino Linotype" w:eastAsia="Palatino Linotype" w:hAnsi="Palatino Linotype" w:cs="Palatino Linotype"/>
        </w:rPr>
        <w:t>. VITAL does not diagnose, prescribe, recommend treatment, or decide whether a referral is medically necessary. These decisions remain with the attending provider at every step. The platform will operate under the Data Privacy Act and applicable NPC guidelines.</w:t>
      </w:r>
    </w:p>
    <w:p w14:paraId="5F2F76B6" w14:textId="77777777" w:rsidR="00062BD0" w:rsidRPr="00062BD0" w:rsidRDefault="00062BD0" w:rsidP="00062BD0">
      <w:pPr>
        <w:spacing w:line="360" w:lineRule="auto"/>
        <w:ind w:left="720"/>
        <w:jc w:val="both"/>
        <w:rPr>
          <w:rFonts w:ascii="Palatino Linotype" w:eastAsia="Palatino Linotype" w:hAnsi="Palatino Linotype" w:cs="Palatino Linotype"/>
          <w:lang w:val="en-PH"/>
        </w:rPr>
      </w:pPr>
    </w:p>
    <w:p w14:paraId="7A98D485" w14:textId="18845703" w:rsidR="002C7C51" w:rsidRDefault="002C7C51" w:rsidP="006364B4">
      <w:pPr>
        <w:spacing w:line="360" w:lineRule="auto"/>
        <w:ind w:left="720"/>
        <w:jc w:val="both"/>
        <w:rPr>
          <w:rFonts w:ascii="Palatino Linotype" w:eastAsia="Palatino Linotype" w:hAnsi="Palatino Linotype" w:cs="Palatino Linotype"/>
          <w:b/>
          <w:bCs/>
        </w:rPr>
      </w:pPr>
      <w:r>
        <w:rPr>
          <w:rFonts w:ascii="Palatino Linotype" w:eastAsia="Palatino Linotype" w:hAnsi="Palatino Linotype" w:cs="Palatino Linotype"/>
          <w:b/>
          <w:bCs/>
        </w:rPr>
        <w:t>Roles and Responsibilities:</w:t>
      </w:r>
    </w:p>
    <w:tbl>
      <w:tblPr>
        <w:tblStyle w:val="TableGrid"/>
        <w:tblW w:w="0" w:type="auto"/>
        <w:tblInd w:w="720" w:type="dxa"/>
        <w:tblLook w:val="04A0" w:firstRow="1" w:lastRow="0" w:firstColumn="1" w:lastColumn="0" w:noHBand="0" w:noVBand="1"/>
      </w:tblPr>
      <w:tblGrid>
        <w:gridCol w:w="2110"/>
        <w:gridCol w:w="6186"/>
      </w:tblGrid>
      <w:tr w:rsidR="002C7C51" w14:paraId="3004FE4D" w14:textId="77777777" w:rsidTr="002C7C51">
        <w:tc>
          <w:tcPr>
            <w:tcW w:w="2110" w:type="dxa"/>
          </w:tcPr>
          <w:p w14:paraId="164EFCB3" w14:textId="040C3F82"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Actor</w:t>
            </w:r>
          </w:p>
        </w:tc>
        <w:tc>
          <w:tcPr>
            <w:tcW w:w="6186" w:type="dxa"/>
          </w:tcPr>
          <w:p w14:paraId="6F411D11" w14:textId="3FB9280E"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Responsibilities</w:t>
            </w:r>
          </w:p>
        </w:tc>
      </w:tr>
      <w:tr w:rsidR="002C7C51" w14:paraId="606359EE" w14:textId="77777777" w:rsidTr="002C7C51">
        <w:tc>
          <w:tcPr>
            <w:tcW w:w="2110" w:type="dxa"/>
          </w:tcPr>
          <w:p w14:paraId="4A9CA3D1" w14:textId="1AA0ECAB" w:rsidR="002C7C51" w:rsidRPr="002C7C51" w:rsidRDefault="002C7C51" w:rsidP="006364B4">
            <w:pPr>
              <w:spacing w:line="360" w:lineRule="auto"/>
              <w:jc w:val="both"/>
              <w:rPr>
                <w:rFonts w:ascii="Palatino Linotype" w:eastAsia="Palatino Linotype" w:hAnsi="Palatino Linotype" w:cs="Palatino Linotype"/>
              </w:rPr>
            </w:pPr>
            <w:r w:rsidRPr="002C7C51">
              <w:rPr>
                <w:rFonts w:ascii="Palatino Linotype" w:eastAsia="Palatino Linotype" w:hAnsi="Palatino Linotype" w:cs="Palatino Linotype"/>
              </w:rPr>
              <w:t>Patient</w:t>
            </w:r>
          </w:p>
        </w:tc>
        <w:tc>
          <w:tcPr>
            <w:tcW w:w="6186" w:type="dxa"/>
          </w:tcPr>
          <w:p w14:paraId="76456C94" w14:textId="1F23D8DB"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Controls and authorizes access to their information.</w:t>
            </w:r>
          </w:p>
        </w:tc>
      </w:tr>
      <w:tr w:rsidR="002C7C51" w14:paraId="06CB6BF2" w14:textId="77777777" w:rsidTr="002C7C51">
        <w:tc>
          <w:tcPr>
            <w:tcW w:w="2110" w:type="dxa"/>
          </w:tcPr>
          <w:p w14:paraId="5E7DFC84" w14:textId="620BB496"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RHU/Doctor</w:t>
            </w:r>
          </w:p>
        </w:tc>
        <w:tc>
          <w:tcPr>
            <w:tcW w:w="6186" w:type="dxa"/>
          </w:tcPr>
          <w:p w14:paraId="224D33DD" w14:textId="41CAB142"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Assesses the patient and decides if a referral is medically necessary.</w:t>
            </w:r>
          </w:p>
        </w:tc>
      </w:tr>
      <w:tr w:rsidR="002C7C51" w14:paraId="6E878350" w14:textId="77777777" w:rsidTr="002C7C51">
        <w:tc>
          <w:tcPr>
            <w:tcW w:w="2110" w:type="dxa"/>
          </w:tcPr>
          <w:p w14:paraId="44F8E167" w14:textId="23969C32" w:rsidR="002C7C51" w:rsidRPr="002C7C51" w:rsidRDefault="006F2B52"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VITAL</w:t>
            </w:r>
          </w:p>
        </w:tc>
        <w:tc>
          <w:tcPr>
            <w:tcW w:w="6186" w:type="dxa"/>
          </w:tcPr>
          <w:p w14:paraId="1AEC18FE" w14:textId="1D460316"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Digitizes, routes, tracks, and securely manages the referral/record exchange.</w:t>
            </w:r>
          </w:p>
        </w:tc>
      </w:tr>
      <w:tr w:rsidR="002C7C51" w14:paraId="23DF2AB4" w14:textId="77777777" w:rsidTr="002C7C51">
        <w:tc>
          <w:tcPr>
            <w:tcW w:w="2110" w:type="dxa"/>
          </w:tcPr>
          <w:p w14:paraId="5FC5995C" w14:textId="3EA70974"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Laboratory</w:t>
            </w:r>
          </w:p>
        </w:tc>
        <w:tc>
          <w:tcPr>
            <w:tcW w:w="6186" w:type="dxa"/>
          </w:tcPr>
          <w:p w14:paraId="3A993DA8" w14:textId="0A01B4AF"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Performs tests and delivers results.</w:t>
            </w:r>
          </w:p>
        </w:tc>
      </w:tr>
      <w:tr w:rsidR="002C7C51" w14:paraId="6C2AC4F6" w14:textId="77777777" w:rsidTr="002C7C51">
        <w:tc>
          <w:tcPr>
            <w:tcW w:w="2110" w:type="dxa"/>
          </w:tcPr>
          <w:p w14:paraId="4375F89B" w14:textId="7406E4ED"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Hospital/Specialist</w:t>
            </w:r>
          </w:p>
        </w:tc>
        <w:tc>
          <w:tcPr>
            <w:tcW w:w="6186" w:type="dxa"/>
          </w:tcPr>
          <w:p w14:paraId="1FCF3B83" w14:textId="1734F083" w:rsidR="002C7C51" w:rsidRPr="002C7C51" w:rsidRDefault="002C7C51" w:rsidP="006364B4">
            <w:pPr>
              <w:spacing w:line="360" w:lineRule="auto"/>
              <w:jc w:val="both"/>
              <w:rPr>
                <w:rFonts w:ascii="Palatino Linotype" w:eastAsia="Palatino Linotype" w:hAnsi="Palatino Linotype" w:cs="Palatino Linotype"/>
              </w:rPr>
            </w:pPr>
            <w:r>
              <w:rPr>
                <w:rFonts w:ascii="Palatino Linotype" w:eastAsia="Palatino Linotype" w:hAnsi="Palatino Linotype" w:cs="Palatino Linotype"/>
              </w:rPr>
              <w:t>Receives the referral and provides higher-level care.</w:t>
            </w:r>
          </w:p>
        </w:tc>
      </w:tr>
    </w:tbl>
    <w:p w14:paraId="242EE0AE" w14:textId="77777777" w:rsidR="002C7C51" w:rsidRPr="002C7C51" w:rsidRDefault="002C7C51" w:rsidP="006364B4">
      <w:pPr>
        <w:spacing w:line="360" w:lineRule="auto"/>
        <w:jc w:val="both"/>
        <w:rPr>
          <w:rFonts w:ascii="Palatino Linotype" w:eastAsia="Palatino Linotype" w:hAnsi="Palatino Linotype" w:cs="Palatino Linotype"/>
          <w:b/>
          <w:bCs/>
        </w:rPr>
      </w:pPr>
    </w:p>
    <w:p w14:paraId="6A4BE94E" w14:textId="77777777" w:rsidR="00062BD0" w:rsidRPr="00062BD0" w:rsidRDefault="00062BD0" w:rsidP="00062BD0">
      <w:pPr>
        <w:spacing w:line="360" w:lineRule="auto"/>
        <w:ind w:left="709"/>
        <w:jc w:val="both"/>
        <w:rPr>
          <w:rFonts w:ascii="Palatino Linotype" w:eastAsia="Palatino Linotype" w:hAnsi="Palatino Linotype" w:cs="Palatino Linotype"/>
          <w:b/>
          <w:bCs/>
          <w:lang w:val="en-PH"/>
        </w:rPr>
      </w:pPr>
      <w:r w:rsidRPr="00062BD0">
        <w:rPr>
          <w:rFonts w:ascii="Palatino Linotype" w:eastAsia="Palatino Linotype" w:hAnsi="Palatino Linotype" w:cs="Palatino Linotype"/>
          <w:b/>
          <w:bCs/>
          <w:lang w:val="en-PH"/>
        </w:rPr>
        <w:t>The solution primarily supports the following Sustainable Development Goals (SDGs):</w:t>
      </w:r>
    </w:p>
    <w:p w14:paraId="7D423EAF" w14:textId="77777777" w:rsidR="00062BD0" w:rsidRPr="00062BD0" w:rsidRDefault="00062BD0" w:rsidP="00062BD0">
      <w:pPr>
        <w:pStyle w:val="ListParagraph"/>
        <w:numPr>
          <w:ilvl w:val="0"/>
          <w:numId w:val="11"/>
        </w:numPr>
        <w:tabs>
          <w:tab w:val="clear" w:pos="720"/>
          <w:tab w:val="num" w:pos="1418"/>
        </w:tabs>
        <w:spacing w:line="360" w:lineRule="auto"/>
        <w:ind w:left="1276" w:hanging="436"/>
        <w:jc w:val="both"/>
        <w:rPr>
          <w:rFonts w:ascii="Palatino Linotype" w:eastAsia="Palatino Linotype" w:hAnsi="Palatino Linotype" w:cs="Palatino Linotype"/>
          <w:lang w:val="en-PH"/>
        </w:rPr>
      </w:pPr>
      <w:r w:rsidRPr="00062BD0">
        <w:rPr>
          <w:rFonts w:ascii="Palatino Linotype" w:eastAsia="Palatino Linotype" w:hAnsi="Palatino Linotype" w:cs="Palatino Linotype"/>
          <w:b/>
          <w:bCs/>
          <w:lang w:val="en-PH"/>
        </w:rPr>
        <w:t xml:space="preserve">SDG 3 – Good Health and Well-Being – </w:t>
      </w:r>
      <w:r w:rsidRPr="00062BD0">
        <w:rPr>
          <w:rFonts w:ascii="Palatino Linotype" w:eastAsia="Palatino Linotype" w:hAnsi="Palatino Linotype" w:cs="Palatino Linotype"/>
          <w:lang w:val="en-PH"/>
        </w:rPr>
        <w:t>improves coordination between health facilities so patients reach the right level of care faster and with complete information.</w:t>
      </w:r>
    </w:p>
    <w:p w14:paraId="716BA83F" w14:textId="77777777" w:rsidR="00062BD0" w:rsidRPr="00062BD0" w:rsidRDefault="00062BD0" w:rsidP="00062BD0">
      <w:pPr>
        <w:pStyle w:val="ListParagraph"/>
        <w:numPr>
          <w:ilvl w:val="0"/>
          <w:numId w:val="11"/>
        </w:numPr>
        <w:tabs>
          <w:tab w:val="clear" w:pos="720"/>
        </w:tabs>
        <w:spacing w:line="360" w:lineRule="auto"/>
        <w:ind w:left="1276" w:hanging="425"/>
        <w:jc w:val="both"/>
        <w:rPr>
          <w:rFonts w:ascii="Palatino Linotype" w:eastAsia="Palatino Linotype" w:hAnsi="Palatino Linotype" w:cs="Palatino Linotype"/>
          <w:lang w:val="en-PH"/>
        </w:rPr>
      </w:pPr>
      <w:r w:rsidRPr="00062BD0">
        <w:rPr>
          <w:rFonts w:ascii="Palatino Linotype" w:eastAsia="Palatino Linotype" w:hAnsi="Palatino Linotype" w:cs="Palatino Linotype"/>
          <w:b/>
          <w:bCs/>
          <w:lang w:val="en-PH"/>
        </w:rPr>
        <w:t xml:space="preserve">SDG 9 – Industry, Innovation, and Infrastructure – </w:t>
      </w:r>
      <w:r w:rsidRPr="00062BD0">
        <w:rPr>
          <w:rFonts w:ascii="Palatino Linotype" w:eastAsia="Palatino Linotype" w:hAnsi="Palatino Linotype" w:cs="Palatino Linotype"/>
          <w:lang w:val="en-PH"/>
        </w:rPr>
        <w:t>builds interoperable digital health infrastructure that connects facilities without replacing their existing systems.</w:t>
      </w:r>
    </w:p>
    <w:p w14:paraId="4A226FA6" w14:textId="2DFC309C" w:rsidR="00062BD0" w:rsidRPr="00062BD0" w:rsidRDefault="00062BD0" w:rsidP="00062BD0">
      <w:pPr>
        <w:pStyle w:val="ListParagraph"/>
        <w:numPr>
          <w:ilvl w:val="0"/>
          <w:numId w:val="11"/>
        </w:numPr>
        <w:tabs>
          <w:tab w:val="clear" w:pos="720"/>
          <w:tab w:val="num" w:pos="1134"/>
        </w:tabs>
        <w:spacing w:line="360" w:lineRule="auto"/>
        <w:ind w:left="1276" w:hanging="425"/>
        <w:jc w:val="both"/>
        <w:rPr>
          <w:rFonts w:ascii="Palatino Linotype" w:eastAsia="Palatino Linotype" w:hAnsi="Palatino Linotype" w:cs="Palatino Linotype"/>
          <w:lang w:val="en-PH"/>
        </w:rPr>
      </w:pPr>
      <w:r>
        <w:rPr>
          <w:rFonts w:ascii="Palatino Linotype" w:eastAsia="Palatino Linotype" w:hAnsi="Palatino Linotype" w:cs="Palatino Linotype"/>
          <w:b/>
          <w:bCs/>
          <w:lang w:val="en-PH"/>
        </w:rPr>
        <w:t xml:space="preserve">   </w:t>
      </w:r>
      <w:r w:rsidRPr="00062BD0">
        <w:rPr>
          <w:rFonts w:ascii="Palatino Linotype" w:eastAsia="Palatino Linotype" w:hAnsi="Palatino Linotype" w:cs="Palatino Linotype"/>
          <w:b/>
          <w:bCs/>
          <w:lang w:val="en-PH"/>
        </w:rPr>
        <w:t xml:space="preserve">SDG 17 – Partnerships for the Goals – </w:t>
      </w:r>
      <w:r w:rsidRPr="00062BD0">
        <w:rPr>
          <w:rFonts w:ascii="Palatino Linotype" w:eastAsia="Palatino Linotype" w:hAnsi="Palatino Linotype" w:cs="Palatino Linotype"/>
          <w:lang w:val="en-PH"/>
        </w:rPr>
        <w:t>enables collaboration among DICT, DOH, LGUs, RHUs, laboratories, hospitals, and private providers in a shared referral network.</w:t>
      </w:r>
    </w:p>
    <w:p w14:paraId="1FFF71D2" w14:textId="77777777" w:rsidR="006364B4" w:rsidRPr="006364B4" w:rsidRDefault="006364B4" w:rsidP="006364B4">
      <w:pPr>
        <w:pStyle w:val="ListParagraph"/>
        <w:spacing w:line="360" w:lineRule="auto"/>
        <w:ind w:left="1440"/>
        <w:jc w:val="both"/>
        <w:rPr>
          <w:rFonts w:ascii="Palatino Linotype" w:eastAsia="Palatino Linotype" w:hAnsi="Palatino Linotype" w:cs="Palatino Linotype"/>
        </w:rPr>
      </w:pPr>
    </w:p>
    <w:p w14:paraId="64FA587E"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OBJECTIVES</w:t>
      </w:r>
    </w:p>
    <w:p w14:paraId="4CDF5CAC" w14:textId="77777777" w:rsidR="00062BD0" w:rsidRDefault="0027541A" w:rsidP="006364B4">
      <w:pPr>
        <w:spacing w:line="360" w:lineRule="auto"/>
        <w:ind w:left="720"/>
        <w:jc w:val="both"/>
        <w:rPr>
          <w:rFonts w:ascii="Palatino Linotype" w:eastAsia="Palatino Linotype" w:hAnsi="Palatino Linotype" w:cs="Palatino Linotype"/>
        </w:rPr>
      </w:pPr>
      <w:r w:rsidRPr="0027541A">
        <w:rPr>
          <w:rFonts w:ascii="Palatino Linotype" w:eastAsia="Palatino Linotype" w:hAnsi="Palatino Linotype" w:cs="Palatino Linotype"/>
          <w:b/>
          <w:bCs/>
        </w:rPr>
        <w:t>General Objective:</w:t>
      </w:r>
      <w:r w:rsidRPr="0027541A">
        <w:rPr>
          <w:rFonts w:ascii="Palatino Linotype" w:eastAsia="Palatino Linotype" w:hAnsi="Palatino Linotype" w:cs="Palatino Linotype"/>
        </w:rPr>
        <w:t xml:space="preserve"> To reduce fragmentation and delay in the Philippine patient referral process </w:t>
      </w:r>
      <w:r w:rsidR="00062BD0" w:rsidRPr="00062BD0">
        <w:rPr>
          <w:rFonts w:ascii="Palatino Linotype" w:eastAsia="Palatino Linotype" w:hAnsi="Palatino Linotype" w:cs="Palatino Linotype"/>
        </w:rPr>
        <w:t>by establishing a patient-controlled digital health connectivity platform that links RHUs, clinics, laboratories, hospitals, and specialists.</w:t>
      </w:r>
    </w:p>
    <w:p w14:paraId="507CB858" w14:textId="2444D03E" w:rsidR="0027541A" w:rsidRPr="0027541A" w:rsidRDefault="0027541A" w:rsidP="006364B4">
      <w:pPr>
        <w:spacing w:line="360" w:lineRule="auto"/>
        <w:ind w:left="720"/>
        <w:jc w:val="both"/>
        <w:rPr>
          <w:rFonts w:ascii="Palatino Linotype" w:eastAsia="Palatino Linotype" w:hAnsi="Palatino Linotype" w:cs="Palatino Linotype"/>
          <w:b/>
          <w:bCs/>
        </w:rPr>
      </w:pPr>
      <w:r w:rsidRPr="0027541A">
        <w:rPr>
          <w:rFonts w:ascii="Palatino Linotype" w:eastAsia="Palatino Linotype" w:hAnsi="Palatino Linotype" w:cs="Palatino Linotype"/>
          <w:b/>
          <w:bCs/>
        </w:rPr>
        <w:t>Specific</w:t>
      </w:r>
      <w:r w:rsidR="00062BD0">
        <w:rPr>
          <w:rFonts w:ascii="Palatino Linotype" w:eastAsia="Palatino Linotype" w:hAnsi="Palatino Linotype" w:cs="Palatino Linotype"/>
          <w:b/>
          <w:bCs/>
        </w:rPr>
        <w:t xml:space="preserve"> and Measurable</w:t>
      </w:r>
      <w:r w:rsidRPr="0027541A">
        <w:rPr>
          <w:rFonts w:ascii="Palatino Linotype" w:eastAsia="Palatino Linotype" w:hAnsi="Palatino Linotype" w:cs="Palatino Linotype"/>
          <w:b/>
          <w:bCs/>
        </w:rPr>
        <w:t xml:space="preserve"> Objectives:</w:t>
      </w:r>
    </w:p>
    <w:p w14:paraId="625B679B" w14:textId="77777777" w:rsidR="005C35EC" w:rsidRPr="005C35EC" w:rsidRDefault="005C35EC" w:rsidP="005C35EC">
      <w:pPr>
        <w:pStyle w:val="ListParagraph"/>
        <w:numPr>
          <w:ilvl w:val="0"/>
          <w:numId w:val="12"/>
        </w:numPr>
        <w:tabs>
          <w:tab w:val="clear" w:pos="720"/>
          <w:tab w:val="num" w:pos="1560"/>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Develop a minimum viable platform (patient Health Wallet, RHU/clinic portal, and laboratory portal) that supports digital referral creation, status tracking, appointment scheduling, and lab-result delivery.</w:t>
      </w:r>
    </w:p>
    <w:p w14:paraId="67A282BE" w14:textId="77777777" w:rsidR="005C35EC" w:rsidRPr="005C35EC" w:rsidRDefault="005C35EC" w:rsidP="005C35EC">
      <w:pPr>
        <w:pStyle w:val="ListParagraph"/>
        <w:numPr>
          <w:ilvl w:val="0"/>
          <w:numId w:val="12"/>
        </w:numPr>
        <w:tabs>
          <w:tab w:val="clear" w:pos="720"/>
          <w:tab w:val="num" w:pos="1418"/>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Pilot the platform in Bohol with 1–2 RHUs/clinics and 1 partner laboratory over 4–6 weeks.</w:t>
      </w:r>
    </w:p>
    <w:p w14:paraId="607EA044" w14:textId="77777777" w:rsidR="005C35EC" w:rsidRPr="005C35EC" w:rsidRDefault="005C35EC" w:rsidP="005C35EC">
      <w:pPr>
        <w:pStyle w:val="ListParagraph"/>
        <w:numPr>
          <w:ilvl w:val="0"/>
          <w:numId w:val="12"/>
        </w:numPr>
        <w:tabs>
          <w:tab w:val="clear" w:pos="720"/>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Register 50–100 patients to the Health Wallet during the pilot, with consent controls activated for their records.</w:t>
      </w:r>
    </w:p>
    <w:p w14:paraId="74D74A75" w14:textId="77777777" w:rsidR="005C35EC" w:rsidRPr="005C35EC" w:rsidRDefault="005C35EC" w:rsidP="005C35EC">
      <w:pPr>
        <w:pStyle w:val="ListParagraph"/>
        <w:numPr>
          <w:ilvl w:val="0"/>
          <w:numId w:val="12"/>
        </w:numPr>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Reduce average referral turnaround time by at least 30% relative to each pilot site's own manual-process baseline.</w:t>
      </w:r>
    </w:p>
    <w:p w14:paraId="02507114" w14:textId="77777777" w:rsidR="005C35EC" w:rsidRPr="005C35EC" w:rsidRDefault="005C35EC" w:rsidP="005C35EC">
      <w:pPr>
        <w:pStyle w:val="ListParagraph"/>
        <w:numPr>
          <w:ilvl w:val="0"/>
          <w:numId w:val="12"/>
        </w:numPr>
        <w:tabs>
          <w:tab w:val="clear" w:pos="720"/>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Achieve full status-trail visibility for pilot referrals, from Created to Completed, including confirmation of patient arrival at the receiving facility.</w:t>
      </w:r>
    </w:p>
    <w:p w14:paraId="630EC86E" w14:textId="77777777" w:rsidR="005C35EC" w:rsidRPr="005C35EC" w:rsidRDefault="005C35EC" w:rsidP="005C35EC">
      <w:pPr>
        <w:pStyle w:val="ListParagraph"/>
        <w:numPr>
          <w:ilvl w:val="0"/>
          <w:numId w:val="12"/>
        </w:numPr>
        <w:tabs>
          <w:tab w:val="clear" w:pos="720"/>
          <w:tab w:val="num" w:pos="1418"/>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lastRenderedPageBreak/>
        <w:t>Establish a secure and trusted platform through consent-based access, encryption, role-based permissions, audit logs, and early legal and data-privacy review.</w:t>
      </w:r>
    </w:p>
    <w:p w14:paraId="492C1EB2" w14:textId="77777777" w:rsidR="005C35EC" w:rsidRPr="005C35EC" w:rsidRDefault="005C35EC" w:rsidP="005C35EC">
      <w:pPr>
        <w:pStyle w:val="ListParagraph"/>
        <w:numPr>
          <w:ilvl w:val="0"/>
          <w:numId w:val="12"/>
        </w:numPr>
        <w:tabs>
          <w:tab w:val="clear" w:pos="720"/>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Track measurable pilot indicators, including referrals completed, turnaround time, lab results delivered digitally, patient registrations, and provider feedback.</w:t>
      </w:r>
    </w:p>
    <w:p w14:paraId="3CA27160" w14:textId="77777777" w:rsidR="005C35EC" w:rsidRPr="005C35EC" w:rsidRDefault="005C35EC" w:rsidP="005C35EC">
      <w:pPr>
        <w:pStyle w:val="ListParagraph"/>
        <w:numPr>
          <w:ilvl w:val="0"/>
          <w:numId w:val="12"/>
        </w:numPr>
        <w:tabs>
          <w:tab w:val="clear" w:pos="720"/>
          <w:tab w:val="num" w:pos="993"/>
        </w:tabs>
        <w:spacing w:line="360" w:lineRule="auto"/>
        <w:ind w:left="1418" w:hanging="567"/>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Use pilot evidence and willingness-to-pay data to validate the Premium and Premium+ pricing and convert participating providers into paying subscribers.</w:t>
      </w:r>
    </w:p>
    <w:p w14:paraId="3EE43A21" w14:textId="77777777" w:rsidR="005C35EC" w:rsidRPr="005C35EC" w:rsidRDefault="005C35EC" w:rsidP="005C35EC">
      <w:pPr>
        <w:pStyle w:val="ListParagraph"/>
        <w:numPr>
          <w:ilvl w:val="0"/>
          <w:numId w:val="12"/>
        </w:numPr>
        <w:spacing w:line="360" w:lineRule="auto"/>
        <w:ind w:firstLine="131"/>
        <w:jc w:val="both"/>
        <w:rPr>
          <w:rFonts w:ascii="Palatino Linotype" w:eastAsia="Palatino Linotype" w:hAnsi="Palatino Linotype" w:cs="Palatino Linotype"/>
          <w:lang w:val="en-PH"/>
        </w:rPr>
      </w:pPr>
      <w:r w:rsidRPr="005C35EC">
        <w:rPr>
          <w:rFonts w:ascii="Palatino Linotype" w:eastAsia="Palatino Linotype" w:hAnsi="Palatino Linotype" w:cs="Palatino Linotype"/>
          <w:lang w:val="en-PH"/>
        </w:rPr>
        <w:t>Use the pilot results to prepare expansion to additional Bohol municipalities.</w:t>
      </w:r>
    </w:p>
    <w:p w14:paraId="438A9469" w14:textId="77777777" w:rsidR="001E1521" w:rsidRPr="001E1521" w:rsidRDefault="001E1521" w:rsidP="001E1521">
      <w:pPr>
        <w:pStyle w:val="ListParagraph"/>
        <w:spacing w:line="360" w:lineRule="auto"/>
        <w:ind w:left="1276"/>
        <w:jc w:val="both"/>
        <w:rPr>
          <w:rFonts w:ascii="Palatino Linotype" w:eastAsia="Palatino Linotype" w:hAnsi="Palatino Linotype" w:cs="Palatino Linotype"/>
        </w:rPr>
      </w:pPr>
    </w:p>
    <w:p w14:paraId="155650E7" w14:textId="77777777" w:rsidR="00E26EF0" w:rsidRPr="006364B4" w:rsidRDefault="00000000" w:rsidP="006364B4">
      <w:pPr>
        <w:numPr>
          <w:ilvl w:val="0"/>
          <w:numId w:val="1"/>
        </w:numPr>
        <w:spacing w:line="360" w:lineRule="auto"/>
        <w:ind w:left="993" w:hanging="709"/>
        <w:jc w:val="both"/>
        <w:rPr>
          <w:rFonts w:ascii="Palatino Linotype" w:eastAsia="Palatino Linotype" w:hAnsi="Palatino Linotype" w:cs="Palatino Linotype"/>
        </w:rPr>
      </w:pPr>
      <w:r w:rsidRPr="00E26EF0">
        <w:rPr>
          <w:rFonts w:ascii="Palatino Linotype" w:eastAsia="Palatino Linotype" w:hAnsi="Palatino Linotype" w:cs="Palatino Linotype"/>
          <w:b/>
          <w:bCs/>
        </w:rPr>
        <w:t>TARGET MARKET/BENEFICIARIES</w:t>
      </w:r>
    </w:p>
    <w:tbl>
      <w:tblPr>
        <w:tblStyle w:val="TableGrid"/>
        <w:tblW w:w="0" w:type="auto"/>
        <w:tblInd w:w="993" w:type="dxa"/>
        <w:tblLook w:val="04A0" w:firstRow="1" w:lastRow="0" w:firstColumn="1" w:lastColumn="0" w:noHBand="0" w:noVBand="1"/>
      </w:tblPr>
      <w:tblGrid>
        <w:gridCol w:w="2795"/>
        <w:gridCol w:w="2636"/>
        <w:gridCol w:w="2592"/>
      </w:tblGrid>
      <w:tr w:rsidR="006364B4" w14:paraId="5FEA54FF" w14:textId="77777777" w:rsidTr="006364B4">
        <w:tc>
          <w:tcPr>
            <w:tcW w:w="3005" w:type="dxa"/>
          </w:tcPr>
          <w:p w14:paraId="22062AD2" w14:textId="5D131928" w:rsidR="006364B4" w:rsidRPr="00C45175" w:rsidRDefault="006364B4" w:rsidP="001E1521">
            <w:pPr>
              <w:spacing w:line="276" w:lineRule="auto"/>
              <w:jc w:val="center"/>
              <w:rPr>
                <w:rFonts w:ascii="Palatino Linotype" w:eastAsia="Palatino Linotype" w:hAnsi="Palatino Linotype" w:cs="Palatino Linotype"/>
                <w:b/>
                <w:bCs/>
              </w:rPr>
            </w:pPr>
            <w:r w:rsidRPr="00C45175">
              <w:rPr>
                <w:rFonts w:ascii="Palatino Linotype" w:eastAsia="Palatino Linotype" w:hAnsi="Palatino Linotype" w:cs="Palatino Linotype"/>
                <w:b/>
                <w:bCs/>
              </w:rPr>
              <w:t>Target Market/ Beneficiaries</w:t>
            </w:r>
          </w:p>
        </w:tc>
        <w:tc>
          <w:tcPr>
            <w:tcW w:w="3005" w:type="dxa"/>
          </w:tcPr>
          <w:p w14:paraId="61A56E4A" w14:textId="2538BDFB" w:rsidR="006364B4" w:rsidRPr="00C45175" w:rsidRDefault="006364B4" w:rsidP="001E1521">
            <w:pPr>
              <w:spacing w:line="276" w:lineRule="auto"/>
              <w:jc w:val="center"/>
              <w:rPr>
                <w:rFonts w:ascii="Palatino Linotype" w:eastAsia="Palatino Linotype" w:hAnsi="Palatino Linotype" w:cs="Palatino Linotype"/>
                <w:b/>
                <w:bCs/>
              </w:rPr>
            </w:pPr>
            <w:r w:rsidRPr="00C45175">
              <w:rPr>
                <w:rFonts w:ascii="Palatino Linotype" w:eastAsia="Palatino Linotype" w:hAnsi="Palatino Linotype" w:cs="Palatino Linotype"/>
                <w:b/>
                <w:bCs/>
              </w:rPr>
              <w:t>Pain Point</w:t>
            </w:r>
          </w:p>
        </w:tc>
        <w:tc>
          <w:tcPr>
            <w:tcW w:w="3006" w:type="dxa"/>
          </w:tcPr>
          <w:p w14:paraId="2284E8F9" w14:textId="62086E9C" w:rsidR="006364B4" w:rsidRPr="00C45175" w:rsidRDefault="006364B4" w:rsidP="001E1521">
            <w:pPr>
              <w:spacing w:line="276" w:lineRule="auto"/>
              <w:jc w:val="center"/>
              <w:rPr>
                <w:rFonts w:ascii="Palatino Linotype" w:eastAsia="Palatino Linotype" w:hAnsi="Palatino Linotype" w:cs="Palatino Linotype"/>
                <w:b/>
                <w:bCs/>
              </w:rPr>
            </w:pPr>
            <w:r w:rsidRPr="00C45175">
              <w:rPr>
                <w:rFonts w:ascii="Palatino Linotype" w:eastAsia="Palatino Linotype" w:hAnsi="Palatino Linotype" w:cs="Palatino Linotype"/>
                <w:b/>
                <w:bCs/>
              </w:rPr>
              <w:t>VITAL Benefits</w:t>
            </w:r>
          </w:p>
        </w:tc>
      </w:tr>
      <w:tr w:rsidR="006364B4" w14:paraId="328F4178" w14:textId="77777777" w:rsidTr="006364B4">
        <w:tc>
          <w:tcPr>
            <w:tcW w:w="3005" w:type="dxa"/>
          </w:tcPr>
          <w:p w14:paraId="3BCBB1D9" w14:textId="59F91F05" w:rsidR="006364B4" w:rsidRDefault="006364B4"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t>Patients</w:t>
            </w:r>
          </w:p>
        </w:tc>
        <w:tc>
          <w:tcPr>
            <w:tcW w:w="3005" w:type="dxa"/>
          </w:tcPr>
          <w:p w14:paraId="1072AB4D" w14:textId="3ED83656"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Moving between healthcare facilities risks losing hardcopy results, with no reliable way to track or transfer referral information.</w:t>
            </w:r>
          </w:p>
        </w:tc>
        <w:tc>
          <w:tcPr>
            <w:tcW w:w="3006" w:type="dxa"/>
          </w:tcPr>
          <w:p w14:paraId="1A2257CE" w14:textId="754C02E8"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Patient-controlled access to referral and health records; no more lost hardcopy results; real-time visibility into referral status from creation to completion.</w:t>
            </w:r>
          </w:p>
        </w:tc>
      </w:tr>
      <w:tr w:rsidR="006364B4" w14:paraId="4B75CB58" w14:textId="77777777" w:rsidTr="006364B4">
        <w:tc>
          <w:tcPr>
            <w:tcW w:w="3005" w:type="dxa"/>
          </w:tcPr>
          <w:p w14:paraId="3CCF64F2" w14:textId="55D2310B" w:rsidR="006364B4" w:rsidRDefault="006364B4"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t>RHUs/Clinics</w:t>
            </w:r>
          </w:p>
        </w:tc>
        <w:tc>
          <w:tcPr>
            <w:tcW w:w="3005" w:type="dxa"/>
          </w:tcPr>
          <w:p w14:paraId="7B607545" w14:textId="32CDBC21"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Manual, paper-based referral processes create heavy administrative workload and little visibility into whether a referred patient actually reached the receiving facility.</w:t>
            </w:r>
          </w:p>
        </w:tc>
        <w:tc>
          <w:tcPr>
            <w:tcW w:w="3006" w:type="dxa"/>
          </w:tcPr>
          <w:p w14:paraId="3E7FE4B5" w14:textId="7916B20E"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Faster, trackable referral creation; reduced paperwork and follow-up calls; confirmation of patient arrival and outcome, improving continuity of care.</w:t>
            </w:r>
          </w:p>
        </w:tc>
      </w:tr>
      <w:tr w:rsidR="006364B4" w14:paraId="19601E43" w14:textId="77777777" w:rsidTr="006364B4">
        <w:tc>
          <w:tcPr>
            <w:tcW w:w="3005" w:type="dxa"/>
          </w:tcPr>
          <w:p w14:paraId="0106D5C6" w14:textId="07D31D7A" w:rsidR="006364B4" w:rsidRDefault="006364B4"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t>Diagnostic Laboratories</w:t>
            </w:r>
          </w:p>
        </w:tc>
        <w:tc>
          <w:tcPr>
            <w:tcW w:w="3005" w:type="dxa"/>
          </w:tcPr>
          <w:p w14:paraId="7E43C87F" w14:textId="3B3E0572"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Results are transmitted via hardcopy or manual pickup, causing delays and risk of results being lost or misplaced in transit.</w:t>
            </w:r>
          </w:p>
        </w:tc>
        <w:tc>
          <w:tcPr>
            <w:tcW w:w="3006" w:type="dxa"/>
          </w:tcPr>
          <w:p w14:paraId="096F997E" w14:textId="7E0ECB4A"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Digital results delivery tied directly to the referral record; faster turnaround; fewer repeat tests caused by missing results.</w:t>
            </w:r>
          </w:p>
        </w:tc>
      </w:tr>
      <w:tr w:rsidR="006364B4" w14:paraId="4C4FF1E8" w14:textId="77777777" w:rsidTr="006364B4">
        <w:tc>
          <w:tcPr>
            <w:tcW w:w="3005" w:type="dxa"/>
          </w:tcPr>
          <w:p w14:paraId="1775BF9E" w14:textId="41BDAA61" w:rsidR="006364B4" w:rsidRDefault="006364B4"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t>Hospitals/Specialists</w:t>
            </w:r>
          </w:p>
        </w:tc>
        <w:tc>
          <w:tcPr>
            <w:tcW w:w="3005" w:type="dxa"/>
          </w:tcPr>
          <w:p w14:paraId="1B44CA9F" w14:textId="78A62046"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 xml:space="preserve">Patients often arrive without complete referral history, forcing </w:t>
            </w:r>
            <w:r w:rsidRPr="00716345">
              <w:rPr>
                <w:rFonts w:ascii="Palatino Linotype" w:eastAsia="Palatino Linotype" w:hAnsi="Palatino Linotype" w:cs="Palatino Linotype"/>
              </w:rPr>
              <w:lastRenderedPageBreak/>
              <w:t>specialists to work with incomplete information or wait on delayed paper records.</w:t>
            </w:r>
          </w:p>
        </w:tc>
        <w:tc>
          <w:tcPr>
            <w:tcW w:w="3006" w:type="dxa"/>
          </w:tcPr>
          <w:p w14:paraId="391DEE69" w14:textId="470DB72F"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lastRenderedPageBreak/>
              <w:t xml:space="preserve">Complete digital referral and results history available on </w:t>
            </w:r>
            <w:r w:rsidRPr="00716345">
              <w:rPr>
                <w:rFonts w:ascii="Palatino Linotype" w:eastAsia="Palatino Linotype" w:hAnsi="Palatino Linotype" w:cs="Palatino Linotype"/>
              </w:rPr>
              <w:lastRenderedPageBreak/>
              <w:t>patient arrival; faster intake; reduced redundant testing and diagnostic delays.</w:t>
            </w:r>
          </w:p>
        </w:tc>
      </w:tr>
      <w:tr w:rsidR="006364B4" w14:paraId="3D5BB706" w14:textId="77777777" w:rsidTr="006364B4">
        <w:tc>
          <w:tcPr>
            <w:tcW w:w="3005" w:type="dxa"/>
          </w:tcPr>
          <w:p w14:paraId="3200413A" w14:textId="2EC28DC0" w:rsidR="006364B4" w:rsidRDefault="006364B4"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LGUs</w:t>
            </w:r>
          </w:p>
        </w:tc>
        <w:tc>
          <w:tcPr>
            <w:tcW w:w="3005" w:type="dxa"/>
          </w:tcPr>
          <w:p w14:paraId="4ED30FC8" w14:textId="6B909DC5"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Fragmented, facility-siloed health data makes it difficult to monitor referral outcomes or plan local health resources effectively.</w:t>
            </w:r>
          </w:p>
        </w:tc>
        <w:tc>
          <w:tcPr>
            <w:tcW w:w="3006" w:type="dxa"/>
          </w:tcPr>
          <w:p w14:paraId="121150F6" w14:textId="7987B615" w:rsidR="006364B4" w:rsidRDefault="00716345" w:rsidP="001E1521">
            <w:pPr>
              <w:spacing w:line="276" w:lineRule="auto"/>
              <w:jc w:val="both"/>
              <w:rPr>
                <w:rFonts w:ascii="Palatino Linotype" w:eastAsia="Palatino Linotype" w:hAnsi="Palatino Linotype" w:cs="Palatino Linotype"/>
              </w:rPr>
            </w:pPr>
            <w:r w:rsidRPr="00716345">
              <w:rPr>
                <w:rFonts w:ascii="Palatino Linotype" w:eastAsia="Palatino Linotype" w:hAnsi="Palatino Linotype" w:cs="Palatino Linotype"/>
              </w:rPr>
              <w:t>Aggregated referral data supports local health system monitoring, resource planning, and alignment with DOH/DICT digital health priorities.</w:t>
            </w:r>
          </w:p>
        </w:tc>
      </w:tr>
    </w:tbl>
    <w:p w14:paraId="66CDE325" w14:textId="77777777" w:rsidR="006364B4" w:rsidRPr="00E26EF0" w:rsidRDefault="006364B4" w:rsidP="006364B4">
      <w:pPr>
        <w:spacing w:line="360" w:lineRule="auto"/>
        <w:ind w:left="993"/>
        <w:jc w:val="both"/>
        <w:rPr>
          <w:rFonts w:ascii="Palatino Linotype" w:eastAsia="Palatino Linotype" w:hAnsi="Palatino Linotype" w:cs="Palatino Linotype"/>
        </w:rPr>
      </w:pPr>
    </w:p>
    <w:p w14:paraId="70ADEEE6"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VALUE PROPOSITION</w:t>
      </w:r>
    </w:p>
    <w:p w14:paraId="7F2213BC" w14:textId="5A3C252C" w:rsidR="002C7C51" w:rsidRDefault="001F6491" w:rsidP="006364B4">
      <w:pPr>
        <w:spacing w:line="360" w:lineRule="auto"/>
        <w:ind w:left="720"/>
        <w:jc w:val="both"/>
        <w:rPr>
          <w:rFonts w:ascii="Palatino Linotype" w:eastAsia="Palatino Linotype" w:hAnsi="Palatino Linotype" w:cs="Palatino Linotype"/>
        </w:rPr>
      </w:pPr>
      <w:r w:rsidRPr="001F6491">
        <w:rPr>
          <w:rFonts w:ascii="Palatino Linotype" w:eastAsia="Palatino Linotype" w:hAnsi="Palatino Linotype" w:cs="Palatino Linotype"/>
        </w:rPr>
        <w:t xml:space="preserve">For patients, </w:t>
      </w:r>
      <w:r w:rsidR="00E26EF0">
        <w:rPr>
          <w:rFonts w:ascii="Palatino Linotype" w:eastAsia="Palatino Linotype" w:hAnsi="Palatino Linotype" w:cs="Palatino Linotype"/>
          <w:b/>
          <w:bCs/>
        </w:rPr>
        <w:t>VITAL</w:t>
      </w:r>
      <w:r w:rsidRPr="001F6491">
        <w:rPr>
          <w:rFonts w:ascii="Palatino Linotype" w:eastAsia="Palatino Linotype" w:hAnsi="Palatino Linotype" w:cs="Palatino Linotype"/>
        </w:rPr>
        <w:t xml:space="preserve"> means no more searching for a lost lab result or paper referral — one portable, secure record that moves with them across facilities, with full control over who can view it. For providers, </w:t>
      </w:r>
      <w:r w:rsidR="00E26EF0">
        <w:rPr>
          <w:rFonts w:ascii="Palatino Linotype" w:eastAsia="Palatino Linotype" w:hAnsi="Palatino Linotype" w:cs="Palatino Linotype"/>
          <w:b/>
          <w:bCs/>
        </w:rPr>
        <w:t>VITAL</w:t>
      </w:r>
      <w:r w:rsidRPr="001F6491">
        <w:rPr>
          <w:rFonts w:ascii="Palatino Linotype" w:eastAsia="Palatino Linotype" w:hAnsi="Palatino Linotype" w:cs="Palatino Linotype"/>
        </w:rPr>
        <w:t xml:space="preserve"> is the missing connective layer between systems that already digitize records separately but can't share them across facilities: unlike paper referrals, which are </w:t>
      </w:r>
      <w:proofErr w:type="spellStart"/>
      <w:r w:rsidRPr="001F6491">
        <w:rPr>
          <w:rFonts w:ascii="Palatino Linotype" w:eastAsia="Palatino Linotype" w:hAnsi="Palatino Linotype" w:cs="Palatino Linotype"/>
        </w:rPr>
        <w:t>untrackable</w:t>
      </w:r>
      <w:proofErr w:type="spellEnd"/>
      <w:r w:rsidRPr="001F6491">
        <w:rPr>
          <w:rFonts w:ascii="Palatino Linotype" w:eastAsia="Palatino Linotype" w:hAnsi="Palatino Linotype" w:cs="Palatino Linotype"/>
        </w:rPr>
        <w:t xml:space="preserve">, or single-facility systems, which stay siloed to one provider, </w:t>
      </w:r>
      <w:r w:rsidR="00E26EF0">
        <w:rPr>
          <w:rFonts w:ascii="Palatino Linotype" w:eastAsia="Palatino Linotype" w:hAnsi="Palatino Linotype" w:cs="Palatino Linotype"/>
          <w:b/>
          <w:bCs/>
        </w:rPr>
        <w:t>VITAL</w:t>
      </w:r>
      <w:r w:rsidRPr="001F6491">
        <w:rPr>
          <w:rFonts w:ascii="Palatino Linotype" w:eastAsia="Palatino Linotype" w:hAnsi="Palatino Linotype" w:cs="Palatino Linotype"/>
        </w:rPr>
        <w:t xml:space="preserve"> tracks referrals across the entire patient journey. This combination — patient-controlled portability plus provider connectivity — is also </w:t>
      </w:r>
      <w:r w:rsidR="00E26EF0">
        <w:rPr>
          <w:rFonts w:ascii="Palatino Linotype" w:eastAsia="Palatino Linotype" w:hAnsi="Palatino Linotype" w:cs="Palatino Linotype"/>
          <w:b/>
          <w:bCs/>
        </w:rPr>
        <w:t>VITAL’s</w:t>
      </w:r>
      <w:r w:rsidRPr="001F6491">
        <w:rPr>
          <w:rFonts w:ascii="Palatino Linotype" w:eastAsia="Palatino Linotype" w:hAnsi="Palatino Linotype" w:cs="Palatino Linotype"/>
        </w:rPr>
        <w:t xml:space="preserve"> moat: it grows stronger with every new provider that joins the network, making the platform progressively harder to replace.</w:t>
      </w:r>
    </w:p>
    <w:tbl>
      <w:tblPr>
        <w:tblStyle w:val="TableGrid"/>
        <w:tblW w:w="0" w:type="auto"/>
        <w:tblInd w:w="720" w:type="dxa"/>
        <w:tblLook w:val="04A0" w:firstRow="1" w:lastRow="0" w:firstColumn="1" w:lastColumn="0" w:noHBand="0" w:noVBand="1"/>
      </w:tblPr>
      <w:tblGrid>
        <w:gridCol w:w="2598"/>
        <w:gridCol w:w="890"/>
        <w:gridCol w:w="1653"/>
        <w:gridCol w:w="1474"/>
        <w:gridCol w:w="1681"/>
      </w:tblGrid>
      <w:tr w:rsidR="00C45175" w14:paraId="24F32721" w14:textId="77777777" w:rsidTr="005603BC">
        <w:tc>
          <w:tcPr>
            <w:tcW w:w="2598" w:type="dxa"/>
          </w:tcPr>
          <w:p w14:paraId="0586F1E0" w14:textId="77777777" w:rsidR="00C45175" w:rsidRDefault="00C45175" w:rsidP="001E1521">
            <w:pPr>
              <w:spacing w:line="276" w:lineRule="auto"/>
              <w:jc w:val="both"/>
              <w:rPr>
                <w:rFonts w:ascii="Palatino Linotype" w:eastAsia="Palatino Linotype" w:hAnsi="Palatino Linotype" w:cs="Palatino Linotype"/>
              </w:rPr>
            </w:pPr>
          </w:p>
        </w:tc>
        <w:tc>
          <w:tcPr>
            <w:tcW w:w="890" w:type="dxa"/>
          </w:tcPr>
          <w:p w14:paraId="24F9E051" w14:textId="60592F0C" w:rsidR="00C45175" w:rsidRDefault="00C45175" w:rsidP="001E1521">
            <w:pPr>
              <w:spacing w:line="276" w:lineRule="auto"/>
              <w:jc w:val="both"/>
              <w:rPr>
                <w:rFonts w:ascii="Palatino Linotype" w:eastAsia="Palatino Linotype" w:hAnsi="Palatino Linotype" w:cs="Palatino Linotype"/>
              </w:rPr>
            </w:pPr>
            <w:r>
              <w:rPr>
                <w:rFonts w:ascii="Palatino Linotype" w:eastAsia="Palatino Linotype" w:hAnsi="Palatino Linotype" w:cs="Palatino Linotype"/>
              </w:rPr>
              <w:t>VITAL</w:t>
            </w:r>
          </w:p>
        </w:tc>
        <w:tc>
          <w:tcPr>
            <w:tcW w:w="1653" w:type="dxa"/>
          </w:tcPr>
          <w:p w14:paraId="211F3F48" w14:textId="4FD2F5AC" w:rsidR="00C45175" w:rsidRDefault="008B2471" w:rsidP="001E1521">
            <w:pPr>
              <w:spacing w:line="276" w:lineRule="auto"/>
              <w:jc w:val="both"/>
              <w:rPr>
                <w:rFonts w:ascii="Palatino Linotype" w:eastAsia="Palatino Linotype" w:hAnsi="Palatino Linotype" w:cs="Palatino Linotype"/>
              </w:rPr>
            </w:pPr>
            <w:proofErr w:type="spellStart"/>
            <w:r>
              <w:rPr>
                <w:rFonts w:ascii="Palatino Linotype" w:eastAsia="Palatino Linotype" w:hAnsi="Palatino Linotype" w:cs="Palatino Linotype"/>
              </w:rPr>
              <w:t>MyMedAccess</w:t>
            </w:r>
            <w:proofErr w:type="spellEnd"/>
          </w:p>
        </w:tc>
        <w:tc>
          <w:tcPr>
            <w:tcW w:w="1474" w:type="dxa"/>
          </w:tcPr>
          <w:p w14:paraId="46CB7520" w14:textId="50554565" w:rsidR="00C45175" w:rsidRDefault="008B2471" w:rsidP="001E1521">
            <w:pPr>
              <w:spacing w:line="276" w:lineRule="auto"/>
              <w:jc w:val="both"/>
              <w:rPr>
                <w:rFonts w:ascii="Palatino Linotype" w:eastAsia="Palatino Linotype" w:hAnsi="Palatino Linotype" w:cs="Palatino Linotype"/>
              </w:rPr>
            </w:pPr>
            <w:proofErr w:type="spellStart"/>
            <w:r>
              <w:rPr>
                <w:rFonts w:ascii="Palatino Linotype" w:eastAsia="Palatino Linotype" w:hAnsi="Palatino Linotype" w:cs="Palatino Linotype"/>
              </w:rPr>
              <w:t>KonsultaMD</w:t>
            </w:r>
            <w:proofErr w:type="spellEnd"/>
          </w:p>
        </w:tc>
        <w:tc>
          <w:tcPr>
            <w:tcW w:w="1681" w:type="dxa"/>
          </w:tcPr>
          <w:p w14:paraId="06592528" w14:textId="1AF759C2" w:rsidR="00C45175" w:rsidRDefault="008B2471" w:rsidP="001E1521">
            <w:pPr>
              <w:spacing w:line="276" w:lineRule="auto"/>
              <w:jc w:val="both"/>
              <w:rPr>
                <w:rFonts w:ascii="Palatino Linotype" w:eastAsia="Palatino Linotype" w:hAnsi="Palatino Linotype" w:cs="Palatino Linotype"/>
              </w:rPr>
            </w:pPr>
            <w:proofErr w:type="spellStart"/>
            <w:r>
              <w:rPr>
                <w:rFonts w:ascii="Palatino Linotype" w:eastAsia="Palatino Linotype" w:hAnsi="Palatino Linotype" w:cs="Palatino Linotype"/>
              </w:rPr>
              <w:t>HealthNowPH</w:t>
            </w:r>
            <w:proofErr w:type="spellEnd"/>
          </w:p>
        </w:tc>
      </w:tr>
      <w:tr w:rsidR="00C45175" w14:paraId="0D825BF0" w14:textId="77777777" w:rsidTr="005603BC">
        <w:tc>
          <w:tcPr>
            <w:tcW w:w="2598" w:type="dxa"/>
          </w:tcPr>
          <w:p w14:paraId="1F30EE4A" w14:textId="5FCF9AF9" w:rsidR="00C45175"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Works across multiple independent facilities (RHU, clinic, lab, hospital) — not one closed provider network</w:t>
            </w:r>
          </w:p>
        </w:tc>
        <w:tc>
          <w:tcPr>
            <w:tcW w:w="890" w:type="dxa"/>
            <w:vAlign w:val="center"/>
          </w:tcPr>
          <w:p w14:paraId="3332436F" w14:textId="1C806F0E"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2A51B5CB" w14:textId="7E84E0BB"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474" w:type="dxa"/>
            <w:vAlign w:val="center"/>
          </w:tcPr>
          <w:p w14:paraId="1BB7F6A1" w14:textId="77777777" w:rsidR="00C45175" w:rsidRDefault="00C45175" w:rsidP="001E1521">
            <w:pPr>
              <w:spacing w:line="276" w:lineRule="auto"/>
              <w:jc w:val="center"/>
              <w:rPr>
                <w:rFonts w:ascii="Palatino Linotype" w:eastAsia="Palatino Linotype" w:hAnsi="Palatino Linotype" w:cs="Palatino Linotype"/>
              </w:rPr>
            </w:pPr>
          </w:p>
        </w:tc>
        <w:tc>
          <w:tcPr>
            <w:tcW w:w="1681" w:type="dxa"/>
            <w:vAlign w:val="center"/>
          </w:tcPr>
          <w:p w14:paraId="7B7D35B5" w14:textId="77777777" w:rsidR="00C45175" w:rsidRDefault="00C45175" w:rsidP="001E1521">
            <w:pPr>
              <w:spacing w:line="276" w:lineRule="auto"/>
              <w:jc w:val="center"/>
              <w:rPr>
                <w:rFonts w:ascii="Palatino Linotype" w:eastAsia="Palatino Linotype" w:hAnsi="Palatino Linotype" w:cs="Palatino Linotype"/>
              </w:rPr>
            </w:pPr>
          </w:p>
        </w:tc>
      </w:tr>
      <w:tr w:rsidR="00C45175" w14:paraId="3F798FA9" w14:textId="77777777" w:rsidTr="005603BC">
        <w:tc>
          <w:tcPr>
            <w:tcW w:w="2598" w:type="dxa"/>
          </w:tcPr>
          <w:p w14:paraId="5D0DD157" w14:textId="17E122DC" w:rsidR="00C45175"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Can store patient's medical records digitally</w:t>
            </w:r>
          </w:p>
        </w:tc>
        <w:tc>
          <w:tcPr>
            <w:tcW w:w="890" w:type="dxa"/>
            <w:vAlign w:val="center"/>
          </w:tcPr>
          <w:p w14:paraId="7624D78F" w14:textId="063138D1"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7E6E8ACC" w14:textId="4AAE5B1F"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474" w:type="dxa"/>
            <w:vAlign w:val="center"/>
          </w:tcPr>
          <w:p w14:paraId="71CFAC11" w14:textId="1DEA9166"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81" w:type="dxa"/>
            <w:vAlign w:val="center"/>
          </w:tcPr>
          <w:p w14:paraId="47090109" w14:textId="4AD8C76D" w:rsidR="00C45175"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r>
      <w:tr w:rsidR="008B2471" w14:paraId="76A916EE" w14:textId="77777777" w:rsidTr="005603BC">
        <w:tc>
          <w:tcPr>
            <w:tcW w:w="2598" w:type="dxa"/>
          </w:tcPr>
          <w:p w14:paraId="1AFD0561" w14:textId="6046B534" w:rsidR="008B2471" w:rsidRPr="008B2471" w:rsidRDefault="008B2471" w:rsidP="001E1521">
            <w:pPr>
              <w:spacing w:line="276" w:lineRule="auto"/>
              <w:jc w:val="both"/>
              <w:rPr>
                <w:rFonts w:ascii="Palatino Linotype" w:eastAsia="Palatino Linotype" w:hAnsi="Palatino Linotype" w:cs="Palatino Linotype"/>
              </w:rPr>
            </w:pPr>
            <w:proofErr w:type="spellStart"/>
            <w:r w:rsidRPr="008B2471">
              <w:rPr>
                <w:rFonts w:ascii="Palatino Linotype" w:eastAsia="Palatino Linotype" w:hAnsi="Palatino Linotype" w:cs="Palatino Linotype"/>
              </w:rPr>
              <w:t>Lets</w:t>
            </w:r>
            <w:proofErr w:type="spellEnd"/>
            <w:r w:rsidRPr="008B2471">
              <w:rPr>
                <w:rFonts w:ascii="Palatino Linotype" w:eastAsia="Palatino Linotype" w:hAnsi="Palatino Linotype" w:cs="Palatino Linotype"/>
              </w:rPr>
              <w:t xml:space="preserve"> user book appointments with their preferred clinic/laboratory</w:t>
            </w:r>
          </w:p>
        </w:tc>
        <w:tc>
          <w:tcPr>
            <w:tcW w:w="890" w:type="dxa"/>
            <w:vAlign w:val="center"/>
          </w:tcPr>
          <w:p w14:paraId="77C41534" w14:textId="295D5D67"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386E6A38" w14:textId="77777777" w:rsidR="008B2471" w:rsidRDefault="008B2471" w:rsidP="001E1521">
            <w:pPr>
              <w:spacing w:line="276" w:lineRule="auto"/>
              <w:jc w:val="center"/>
              <w:rPr>
                <w:rFonts w:ascii="Palatino Linotype" w:eastAsia="Palatino Linotype" w:hAnsi="Palatino Linotype" w:cs="Palatino Linotype"/>
              </w:rPr>
            </w:pPr>
          </w:p>
        </w:tc>
        <w:tc>
          <w:tcPr>
            <w:tcW w:w="1474" w:type="dxa"/>
            <w:vAlign w:val="center"/>
          </w:tcPr>
          <w:p w14:paraId="7EEDC9C5" w14:textId="77777777" w:rsidR="008B2471" w:rsidRDefault="008B2471" w:rsidP="001E1521">
            <w:pPr>
              <w:spacing w:line="276" w:lineRule="auto"/>
              <w:jc w:val="center"/>
              <w:rPr>
                <w:rFonts w:ascii="Palatino Linotype" w:eastAsia="Palatino Linotype" w:hAnsi="Palatino Linotype" w:cs="Palatino Linotype"/>
              </w:rPr>
            </w:pPr>
          </w:p>
        </w:tc>
        <w:tc>
          <w:tcPr>
            <w:tcW w:w="1681" w:type="dxa"/>
            <w:vAlign w:val="center"/>
          </w:tcPr>
          <w:p w14:paraId="03628C32" w14:textId="79678479"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r>
      <w:tr w:rsidR="008B2471" w14:paraId="3824B459" w14:textId="77777777" w:rsidTr="005603BC">
        <w:tc>
          <w:tcPr>
            <w:tcW w:w="2598" w:type="dxa"/>
          </w:tcPr>
          <w:p w14:paraId="0EED5F28" w14:textId="4E284B11"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lastRenderedPageBreak/>
              <w:t>Facilities and users can track referral progress from start to finish</w:t>
            </w:r>
          </w:p>
        </w:tc>
        <w:tc>
          <w:tcPr>
            <w:tcW w:w="890" w:type="dxa"/>
            <w:vAlign w:val="center"/>
          </w:tcPr>
          <w:p w14:paraId="43683023" w14:textId="7DD50A16"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0F0B87CF" w14:textId="77777777" w:rsidR="008B2471" w:rsidRDefault="008B2471" w:rsidP="001E1521">
            <w:pPr>
              <w:spacing w:line="276" w:lineRule="auto"/>
              <w:jc w:val="center"/>
              <w:rPr>
                <w:rFonts w:ascii="Palatino Linotype" w:eastAsia="Palatino Linotype" w:hAnsi="Palatino Linotype" w:cs="Palatino Linotype"/>
              </w:rPr>
            </w:pPr>
          </w:p>
        </w:tc>
        <w:tc>
          <w:tcPr>
            <w:tcW w:w="1474" w:type="dxa"/>
            <w:vAlign w:val="center"/>
          </w:tcPr>
          <w:p w14:paraId="4865C28D" w14:textId="77777777" w:rsidR="008B2471" w:rsidRDefault="008B2471" w:rsidP="001E1521">
            <w:pPr>
              <w:spacing w:line="276" w:lineRule="auto"/>
              <w:jc w:val="center"/>
              <w:rPr>
                <w:rFonts w:ascii="Palatino Linotype" w:eastAsia="Palatino Linotype" w:hAnsi="Palatino Linotype" w:cs="Palatino Linotype"/>
              </w:rPr>
            </w:pPr>
          </w:p>
        </w:tc>
        <w:tc>
          <w:tcPr>
            <w:tcW w:w="1681" w:type="dxa"/>
            <w:vAlign w:val="center"/>
          </w:tcPr>
          <w:p w14:paraId="02E57777" w14:textId="77777777" w:rsidR="008B2471" w:rsidRDefault="008B2471" w:rsidP="001E1521">
            <w:pPr>
              <w:spacing w:line="276" w:lineRule="auto"/>
              <w:jc w:val="center"/>
              <w:rPr>
                <w:rFonts w:ascii="Palatino Linotype" w:eastAsia="Palatino Linotype" w:hAnsi="Palatino Linotype" w:cs="Palatino Linotype"/>
              </w:rPr>
            </w:pPr>
          </w:p>
        </w:tc>
      </w:tr>
      <w:tr w:rsidR="008B2471" w14:paraId="40DC3C20" w14:textId="77777777" w:rsidTr="005603BC">
        <w:tc>
          <w:tcPr>
            <w:tcW w:w="2598" w:type="dxa"/>
          </w:tcPr>
          <w:p w14:paraId="5606EBD1" w14:textId="7E1A25CB"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Real-time update to referral and appointment status</w:t>
            </w:r>
          </w:p>
        </w:tc>
        <w:tc>
          <w:tcPr>
            <w:tcW w:w="890" w:type="dxa"/>
            <w:vAlign w:val="center"/>
          </w:tcPr>
          <w:p w14:paraId="62919088" w14:textId="70F0EDBE"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0562A8EC" w14:textId="77777777" w:rsidR="008B2471" w:rsidRDefault="008B2471" w:rsidP="001E1521">
            <w:pPr>
              <w:spacing w:line="276" w:lineRule="auto"/>
              <w:jc w:val="center"/>
              <w:rPr>
                <w:rFonts w:ascii="Palatino Linotype" w:eastAsia="Palatino Linotype" w:hAnsi="Palatino Linotype" w:cs="Palatino Linotype"/>
              </w:rPr>
            </w:pPr>
          </w:p>
        </w:tc>
        <w:tc>
          <w:tcPr>
            <w:tcW w:w="1474" w:type="dxa"/>
            <w:vAlign w:val="center"/>
          </w:tcPr>
          <w:p w14:paraId="34F70E59" w14:textId="77777777" w:rsidR="008B2471" w:rsidRDefault="008B2471" w:rsidP="001E1521">
            <w:pPr>
              <w:spacing w:line="276" w:lineRule="auto"/>
              <w:jc w:val="center"/>
              <w:rPr>
                <w:rFonts w:ascii="Palatino Linotype" w:eastAsia="Palatino Linotype" w:hAnsi="Palatino Linotype" w:cs="Palatino Linotype"/>
              </w:rPr>
            </w:pPr>
          </w:p>
        </w:tc>
        <w:tc>
          <w:tcPr>
            <w:tcW w:w="1681" w:type="dxa"/>
            <w:vAlign w:val="center"/>
          </w:tcPr>
          <w:p w14:paraId="04EE310C" w14:textId="77777777" w:rsidR="008B2471" w:rsidRDefault="008B2471" w:rsidP="001E1521">
            <w:pPr>
              <w:spacing w:line="276" w:lineRule="auto"/>
              <w:jc w:val="center"/>
              <w:rPr>
                <w:rFonts w:ascii="Palatino Linotype" w:eastAsia="Palatino Linotype" w:hAnsi="Palatino Linotype" w:cs="Palatino Linotype"/>
              </w:rPr>
            </w:pPr>
          </w:p>
        </w:tc>
      </w:tr>
      <w:tr w:rsidR="008B2471" w14:paraId="4002E612" w14:textId="77777777" w:rsidTr="005603BC">
        <w:tc>
          <w:tcPr>
            <w:tcW w:w="2598" w:type="dxa"/>
          </w:tcPr>
          <w:p w14:paraId="3BDF06B3" w14:textId="4BD38368"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Includes prescriptions and lab results within the patient's own record</w:t>
            </w:r>
          </w:p>
        </w:tc>
        <w:tc>
          <w:tcPr>
            <w:tcW w:w="890" w:type="dxa"/>
            <w:vAlign w:val="center"/>
          </w:tcPr>
          <w:p w14:paraId="7610E31B" w14:textId="65DD86AF"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00E57A19" w14:textId="13521B08"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474" w:type="dxa"/>
            <w:vAlign w:val="center"/>
          </w:tcPr>
          <w:p w14:paraId="7E89CB26" w14:textId="4FE3CC29"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81" w:type="dxa"/>
            <w:vAlign w:val="center"/>
          </w:tcPr>
          <w:p w14:paraId="0743683F" w14:textId="711C1AF5"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r>
      <w:tr w:rsidR="008B2471" w14:paraId="31B7254C" w14:textId="77777777" w:rsidTr="005603BC">
        <w:tc>
          <w:tcPr>
            <w:tcW w:w="2598" w:type="dxa"/>
          </w:tcPr>
          <w:p w14:paraId="51AC8039" w14:textId="6B62EE23"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Patient sets consent controls over who can access their records</w:t>
            </w:r>
          </w:p>
        </w:tc>
        <w:tc>
          <w:tcPr>
            <w:tcW w:w="890" w:type="dxa"/>
            <w:vAlign w:val="center"/>
          </w:tcPr>
          <w:p w14:paraId="61BFF062" w14:textId="4DB9943B"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1B75CC1A" w14:textId="5E430F94"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474" w:type="dxa"/>
          </w:tcPr>
          <w:p w14:paraId="1123B586" w14:textId="77777777" w:rsidR="008B2471" w:rsidRDefault="008B2471" w:rsidP="001E1521">
            <w:pPr>
              <w:spacing w:line="276" w:lineRule="auto"/>
              <w:jc w:val="both"/>
              <w:rPr>
                <w:rFonts w:ascii="Palatino Linotype" w:eastAsia="Palatino Linotype" w:hAnsi="Palatino Linotype" w:cs="Palatino Linotype"/>
              </w:rPr>
            </w:pPr>
          </w:p>
        </w:tc>
        <w:tc>
          <w:tcPr>
            <w:tcW w:w="1681" w:type="dxa"/>
          </w:tcPr>
          <w:p w14:paraId="21F79260" w14:textId="77777777" w:rsidR="008B2471" w:rsidRDefault="008B2471" w:rsidP="001E1521">
            <w:pPr>
              <w:spacing w:line="276" w:lineRule="auto"/>
              <w:jc w:val="both"/>
              <w:rPr>
                <w:rFonts w:ascii="Palatino Linotype" w:eastAsia="Palatino Linotype" w:hAnsi="Palatino Linotype" w:cs="Palatino Linotype"/>
              </w:rPr>
            </w:pPr>
          </w:p>
        </w:tc>
      </w:tr>
      <w:tr w:rsidR="008B2471" w14:paraId="4BFA6923" w14:textId="77777777" w:rsidTr="005603BC">
        <w:tc>
          <w:tcPr>
            <w:tcW w:w="2598" w:type="dxa"/>
          </w:tcPr>
          <w:p w14:paraId="6A3615C5" w14:textId="193DE954"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Free for patients to create and maintain their own record</w:t>
            </w:r>
          </w:p>
        </w:tc>
        <w:tc>
          <w:tcPr>
            <w:tcW w:w="890" w:type="dxa"/>
            <w:vAlign w:val="center"/>
          </w:tcPr>
          <w:p w14:paraId="37EE23D9" w14:textId="7113AC93"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45E20A48" w14:textId="38D57C70"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474" w:type="dxa"/>
          </w:tcPr>
          <w:p w14:paraId="0BB14CD1" w14:textId="77777777" w:rsidR="008B2471" w:rsidRDefault="008B2471" w:rsidP="001E1521">
            <w:pPr>
              <w:spacing w:line="276" w:lineRule="auto"/>
              <w:jc w:val="both"/>
              <w:rPr>
                <w:rFonts w:ascii="Palatino Linotype" w:eastAsia="Palatino Linotype" w:hAnsi="Palatino Linotype" w:cs="Palatino Linotype"/>
              </w:rPr>
            </w:pPr>
          </w:p>
        </w:tc>
        <w:tc>
          <w:tcPr>
            <w:tcW w:w="1681" w:type="dxa"/>
          </w:tcPr>
          <w:p w14:paraId="2BDCAD8B" w14:textId="77777777" w:rsidR="008B2471" w:rsidRDefault="008B2471" w:rsidP="001E1521">
            <w:pPr>
              <w:spacing w:line="276" w:lineRule="auto"/>
              <w:jc w:val="both"/>
              <w:rPr>
                <w:rFonts w:ascii="Palatino Linotype" w:eastAsia="Palatino Linotype" w:hAnsi="Palatino Linotype" w:cs="Palatino Linotype"/>
              </w:rPr>
            </w:pPr>
          </w:p>
        </w:tc>
      </w:tr>
      <w:tr w:rsidR="008B2471" w14:paraId="2C3DD17F" w14:textId="77777777" w:rsidTr="005603BC">
        <w:tc>
          <w:tcPr>
            <w:tcW w:w="2598" w:type="dxa"/>
          </w:tcPr>
          <w:p w14:paraId="3EB8F991" w14:textId="0983BFF8" w:rsidR="008B2471" w:rsidRPr="008B2471" w:rsidRDefault="008B2471" w:rsidP="001E1521">
            <w:pPr>
              <w:spacing w:line="276" w:lineRule="auto"/>
              <w:jc w:val="both"/>
              <w:rPr>
                <w:rFonts w:ascii="Palatino Linotype" w:eastAsia="Palatino Linotype" w:hAnsi="Palatino Linotype" w:cs="Palatino Linotype"/>
              </w:rPr>
            </w:pPr>
            <w:r w:rsidRPr="008B2471">
              <w:rPr>
                <w:rFonts w:ascii="Palatino Linotype" w:eastAsia="Palatino Linotype" w:hAnsi="Palatino Linotype" w:cs="Palatino Linotype"/>
              </w:rPr>
              <w:t>Purpose-built for the Philippine RHU/public referral system</w:t>
            </w:r>
          </w:p>
        </w:tc>
        <w:tc>
          <w:tcPr>
            <w:tcW w:w="890" w:type="dxa"/>
            <w:vAlign w:val="center"/>
          </w:tcPr>
          <w:p w14:paraId="594AFFC6" w14:textId="7C49DDF8" w:rsidR="008B2471" w:rsidRDefault="008B2471" w:rsidP="001E1521">
            <w:pPr>
              <w:spacing w:line="276" w:lineRule="auto"/>
              <w:jc w:val="center"/>
              <w:rPr>
                <w:rFonts w:ascii="Palatino Linotype" w:eastAsia="Palatino Linotype" w:hAnsi="Palatino Linotype" w:cs="Palatino Linotype"/>
              </w:rPr>
            </w:pPr>
            <w:r>
              <w:rPr>
                <w:rFonts w:ascii="Palatino Linotype" w:eastAsia="Palatino Linotype" w:hAnsi="Palatino Linotype" w:cs="Palatino Linotype"/>
              </w:rPr>
              <w:t>/</w:t>
            </w:r>
          </w:p>
        </w:tc>
        <w:tc>
          <w:tcPr>
            <w:tcW w:w="1653" w:type="dxa"/>
            <w:vAlign w:val="center"/>
          </w:tcPr>
          <w:p w14:paraId="2D432F70" w14:textId="77777777" w:rsidR="008B2471" w:rsidRDefault="008B2471" w:rsidP="001E1521">
            <w:pPr>
              <w:spacing w:line="276" w:lineRule="auto"/>
              <w:jc w:val="center"/>
              <w:rPr>
                <w:rFonts w:ascii="Palatino Linotype" w:eastAsia="Palatino Linotype" w:hAnsi="Palatino Linotype" w:cs="Palatino Linotype"/>
              </w:rPr>
            </w:pPr>
          </w:p>
        </w:tc>
        <w:tc>
          <w:tcPr>
            <w:tcW w:w="1474" w:type="dxa"/>
          </w:tcPr>
          <w:p w14:paraId="057FB3BB" w14:textId="77777777" w:rsidR="008B2471" w:rsidRDefault="008B2471" w:rsidP="001E1521">
            <w:pPr>
              <w:spacing w:line="276" w:lineRule="auto"/>
              <w:jc w:val="both"/>
              <w:rPr>
                <w:rFonts w:ascii="Palatino Linotype" w:eastAsia="Palatino Linotype" w:hAnsi="Palatino Linotype" w:cs="Palatino Linotype"/>
              </w:rPr>
            </w:pPr>
          </w:p>
        </w:tc>
        <w:tc>
          <w:tcPr>
            <w:tcW w:w="1681" w:type="dxa"/>
          </w:tcPr>
          <w:p w14:paraId="0F1ED0D2" w14:textId="77777777" w:rsidR="008B2471" w:rsidRDefault="008B2471" w:rsidP="001E1521">
            <w:pPr>
              <w:spacing w:line="276" w:lineRule="auto"/>
              <w:jc w:val="both"/>
              <w:rPr>
                <w:rFonts w:ascii="Palatino Linotype" w:eastAsia="Palatino Linotype" w:hAnsi="Palatino Linotype" w:cs="Palatino Linotype"/>
              </w:rPr>
            </w:pPr>
          </w:p>
        </w:tc>
      </w:tr>
    </w:tbl>
    <w:p w14:paraId="36CD3802" w14:textId="77777777" w:rsidR="00C45175" w:rsidRPr="001F6491" w:rsidRDefault="00C45175" w:rsidP="006364B4">
      <w:pPr>
        <w:spacing w:line="360" w:lineRule="auto"/>
        <w:ind w:left="720"/>
        <w:jc w:val="both"/>
        <w:rPr>
          <w:rFonts w:ascii="Palatino Linotype" w:eastAsia="Palatino Linotype" w:hAnsi="Palatino Linotype" w:cs="Palatino Linotype"/>
        </w:rPr>
      </w:pPr>
    </w:p>
    <w:p w14:paraId="0672E14B" w14:textId="772395A2" w:rsidR="00635E05" w:rsidRDefault="00000000" w:rsidP="00C45175">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BUSINESS MODEL</w:t>
      </w:r>
    </w:p>
    <w:p w14:paraId="544AFD45" w14:textId="77777777" w:rsidR="005603BC" w:rsidRDefault="005603BC" w:rsidP="005603BC">
      <w:pPr>
        <w:pStyle w:val="ListParagraph"/>
        <w:spacing w:line="360" w:lineRule="auto"/>
        <w:ind w:left="502" w:firstLine="218"/>
        <w:jc w:val="both"/>
      </w:pPr>
      <w:r w:rsidRPr="005603BC">
        <w:rPr>
          <w:rFonts w:eastAsia="Palatino Linotype" w:hAnsi="Palatino Linotype" w:cs="Palatino Linotype"/>
          <w:b/>
          <w:bCs/>
          <w:lang w:val="en-US"/>
        </w:rPr>
        <w:t>VITAL</w:t>
      </w:r>
      <w:r w:rsidRPr="005603BC">
        <w:rPr>
          <w:rFonts w:eastAsia="Palatino Linotype" w:hAnsi="Palatino Linotype" w:cs="Palatino Linotype"/>
          <w:lang w:val="en-US"/>
        </w:rPr>
        <w:t xml:space="preserve"> </w:t>
      </w:r>
      <w:r w:rsidRPr="005603BC">
        <w:rPr>
          <w:rFonts w:ascii="Palatino Linotype" w:eastAsia="Palatino Linotype" w:hAnsi="Palatino Linotype" w:cs="Palatino Linotype"/>
        </w:rPr>
        <w:t xml:space="preserve">uses a </w:t>
      </w:r>
      <w:r w:rsidRPr="005603BC">
        <w:rPr>
          <w:rFonts w:ascii="Palatino Linotype" w:eastAsia="Palatino Linotype" w:hAnsi="Palatino Linotype" w:cs="Palatino Linotype"/>
          <w:b/>
          <w:bCs/>
        </w:rPr>
        <w:t>B2B2C tiered subscription model</w:t>
      </w:r>
      <w:r w:rsidRPr="005603BC">
        <w:rPr>
          <w:rFonts w:ascii="Palatino Linotype" w:eastAsia="Palatino Linotype" w:hAnsi="Palatino Linotype" w:cs="Palatino Linotype"/>
        </w:rPr>
        <w:t xml:space="preserve">: the patient Health Wallet is </w:t>
      </w:r>
      <w:r w:rsidRPr="005603BC">
        <w:rPr>
          <w:rFonts w:ascii="Palatino Linotype" w:eastAsia="Palatino Linotype" w:hAnsi="Palatino Linotype" w:cs="Palatino Linotype"/>
          <w:b/>
          <w:bCs/>
        </w:rPr>
        <w:t>free</w:t>
      </w:r>
      <w:r w:rsidRPr="005603BC">
        <w:rPr>
          <w:rFonts w:ascii="Palatino Linotype" w:eastAsia="Palatino Linotype" w:hAnsi="Palatino Linotype" w:cs="Palatino Linotype"/>
        </w:rPr>
        <w:t xml:space="preserve"> to drive adoption, while RHUs and clinics pay a </w:t>
      </w:r>
      <w:r w:rsidRPr="005603BC">
        <w:rPr>
          <w:rFonts w:ascii="Palatino Linotype" w:eastAsia="Palatino Linotype" w:hAnsi="Palatino Linotype" w:cs="Palatino Linotype"/>
          <w:b/>
          <w:bCs/>
        </w:rPr>
        <w:t>monthly per-facility subscription</w:t>
      </w:r>
      <w:r w:rsidRPr="005603BC">
        <w:rPr>
          <w:rFonts w:ascii="Palatino Linotype" w:eastAsia="Palatino Linotype" w:hAnsi="Palatino Linotype" w:cs="Palatino Linotype"/>
        </w:rPr>
        <w:t xml:space="preserve"> based on the number of active patients they manage. Providers choose between two plans, </w:t>
      </w:r>
      <w:r w:rsidRPr="005603BC">
        <w:rPr>
          <w:rFonts w:ascii="Palatino Linotype" w:eastAsia="Palatino Linotype" w:hAnsi="Palatino Linotype" w:cs="Palatino Linotype"/>
          <w:b/>
          <w:bCs/>
        </w:rPr>
        <w:t>Premium</w:t>
      </w:r>
      <w:r w:rsidRPr="005603BC">
        <w:rPr>
          <w:rFonts w:ascii="Palatino Linotype" w:eastAsia="Palatino Linotype" w:hAnsi="Palatino Linotype" w:cs="Palatino Linotype"/>
        </w:rPr>
        <w:t xml:space="preserve"> and </w:t>
      </w:r>
      <w:r w:rsidRPr="005603BC">
        <w:rPr>
          <w:rFonts w:ascii="Palatino Linotype" w:eastAsia="Palatino Linotype" w:hAnsi="Palatino Linotype" w:cs="Palatino Linotype"/>
          <w:b/>
          <w:bCs/>
        </w:rPr>
        <w:t>Premium+</w:t>
      </w:r>
      <w:r w:rsidRPr="005603BC">
        <w:rPr>
          <w:rFonts w:ascii="Palatino Linotype" w:eastAsia="Palatino Linotype" w:hAnsi="Palatino Linotype" w:cs="Palatino Linotype"/>
        </w:rPr>
        <w:t>. Additional revenue may come from laboratory/hospital integration fees and LGU institutional contracts.</w:t>
      </w:r>
    </w:p>
    <w:p w14:paraId="5A7C0FF5" w14:textId="4DFE4552" w:rsidR="005603BC" w:rsidRPr="005603BC" w:rsidRDefault="005603BC" w:rsidP="005603BC">
      <w:pPr>
        <w:pStyle w:val="ListParagraph"/>
        <w:spacing w:line="360" w:lineRule="auto"/>
        <w:ind w:left="502" w:firstLine="207"/>
        <w:jc w:val="both"/>
        <w:rPr>
          <w:rFonts w:ascii="Palatino Linotype" w:eastAsia="Palatino Linotype" w:hAnsi="Palatino Linotype" w:cs="Palatino Linotype"/>
        </w:rPr>
      </w:pPr>
      <w:r>
        <w:rPr>
          <w:rFonts w:ascii="Palatino Linotype" w:eastAsia="Palatino Linotype" w:hAnsi="Palatino Linotype" w:cs="Palatino Linotype"/>
          <w:b/>
          <w:bCs/>
        </w:rPr>
        <w:t>Premium</w:t>
      </w:r>
      <w:r>
        <w:rPr>
          <w:rFonts w:ascii="Palatino Linotype" w:eastAsia="Palatino Linotype" w:hAnsi="Palatino Linotype" w:cs="Palatino Linotype"/>
        </w:rPr>
        <w:t xml:space="preserve"> covers the core referral and connectivity features. </w:t>
      </w:r>
      <w:r>
        <w:rPr>
          <w:rFonts w:ascii="Palatino Linotype" w:eastAsia="Palatino Linotype" w:hAnsi="Palatino Linotype" w:cs="Palatino Linotype"/>
          <w:b/>
          <w:bCs/>
        </w:rPr>
        <w:t>Premium+</w:t>
      </w:r>
      <w:r>
        <w:rPr>
          <w:rFonts w:ascii="Palatino Linotype" w:eastAsia="Palatino Linotype" w:hAnsi="Palatino Linotype" w:cs="Palatino Linotype"/>
        </w:rPr>
        <w:t xml:space="preserve"> adds </w:t>
      </w:r>
      <w:r>
        <w:rPr>
          <w:rFonts w:ascii="Palatino Linotype" w:eastAsia="Palatino Linotype" w:hAnsi="Palatino Linotype" w:cs="Palatino Linotype"/>
          <w:b/>
          <w:bCs/>
        </w:rPr>
        <w:t>priority referral recommendation</w:t>
      </w:r>
      <w:r>
        <w:rPr>
          <w:rFonts w:ascii="Palatino Linotype" w:eastAsia="Palatino Linotype" w:hAnsi="Palatino Linotype" w:cs="Palatino Linotype"/>
        </w:rPr>
        <w:t>: when a patient needs to be transferred to another specialist, the facility receives prioritized recommendations for suitable receiving specialists or facilities. The attending provider always makes the final clinical and referral decision.</w:t>
      </w:r>
    </w:p>
    <w:p w14:paraId="0855C62C"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p>
    <w:tbl>
      <w:tblPr>
        <w:tblStyle w:val="TableGrid"/>
        <w:tblW w:w="7727" w:type="dxa"/>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333"/>
        <w:gridCol w:w="2126"/>
        <w:gridCol w:w="2268"/>
      </w:tblGrid>
      <w:tr w:rsidR="005603BC" w:rsidRPr="005603BC" w14:paraId="3D5532A1" w14:textId="77777777" w:rsidTr="005603BC">
        <w:tc>
          <w:tcPr>
            <w:tcW w:w="3333" w:type="dxa"/>
            <w:tcBorders>
              <w:top w:val="single" w:sz="4" w:space="0" w:color="auto"/>
              <w:left w:val="single" w:sz="4" w:space="0" w:color="auto"/>
              <w:bottom w:val="single" w:sz="4" w:space="0" w:color="auto"/>
              <w:right w:val="single" w:sz="4" w:space="0" w:color="auto"/>
            </w:tcBorders>
            <w:hideMark/>
          </w:tcPr>
          <w:p w14:paraId="5DA0423A"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Platform Feature</w:t>
            </w:r>
          </w:p>
        </w:tc>
        <w:tc>
          <w:tcPr>
            <w:tcW w:w="2126" w:type="dxa"/>
            <w:tcBorders>
              <w:top w:val="single" w:sz="4" w:space="0" w:color="auto"/>
              <w:left w:val="single" w:sz="4" w:space="0" w:color="auto"/>
              <w:bottom w:val="single" w:sz="4" w:space="0" w:color="auto"/>
              <w:right w:val="single" w:sz="4" w:space="0" w:color="auto"/>
            </w:tcBorders>
            <w:hideMark/>
          </w:tcPr>
          <w:p w14:paraId="68198668"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Premium</w:t>
            </w:r>
          </w:p>
        </w:tc>
        <w:tc>
          <w:tcPr>
            <w:tcW w:w="2268" w:type="dxa"/>
            <w:tcBorders>
              <w:top w:val="single" w:sz="4" w:space="0" w:color="auto"/>
              <w:left w:val="single" w:sz="4" w:space="0" w:color="auto"/>
              <w:bottom w:val="single" w:sz="4" w:space="0" w:color="auto"/>
              <w:right w:val="single" w:sz="4" w:space="0" w:color="auto"/>
            </w:tcBorders>
            <w:hideMark/>
          </w:tcPr>
          <w:p w14:paraId="36462DBB"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Premium+</w:t>
            </w:r>
          </w:p>
        </w:tc>
      </w:tr>
      <w:tr w:rsidR="005603BC" w:rsidRPr="005603BC" w14:paraId="66C57DFB" w14:textId="77777777" w:rsidTr="005603BC">
        <w:tc>
          <w:tcPr>
            <w:tcW w:w="3333" w:type="dxa"/>
            <w:tcBorders>
              <w:top w:val="single" w:sz="4" w:space="0" w:color="auto"/>
              <w:left w:val="single" w:sz="4" w:space="0" w:color="auto"/>
              <w:bottom w:val="single" w:sz="4" w:space="0" w:color="auto"/>
              <w:right w:val="single" w:sz="4" w:space="0" w:color="auto"/>
            </w:tcBorders>
            <w:hideMark/>
          </w:tcPr>
          <w:p w14:paraId="08842036"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 xml:space="preserve">Patient Health Wallet </w:t>
            </w:r>
          </w:p>
          <w:p w14:paraId="4FD4634D"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w:t>
            </w:r>
            <w:r w:rsidRPr="005603BC">
              <w:rPr>
                <w:rFonts w:ascii="Palatino Linotype" w:eastAsia="Palatino Linotype" w:hAnsi="Palatino Linotype" w:cs="Palatino Linotype"/>
                <w:b/>
                <w:bCs/>
                <w:i/>
                <w:iCs/>
                <w:lang w:val="en-PH"/>
              </w:rPr>
              <w:t>free for patients</w:t>
            </w:r>
            <w:r w:rsidRPr="005603BC">
              <w:rPr>
                <w:rFonts w:ascii="Palatino Linotype" w:eastAsia="Palatino Linotype" w:hAnsi="Palatino Linotype" w:cs="Palatino Linotype"/>
                <w:b/>
                <w:bCs/>
                <w:lang w:val="en-PH"/>
              </w:rPr>
              <w:t>)</w:t>
            </w:r>
          </w:p>
        </w:tc>
        <w:tc>
          <w:tcPr>
            <w:tcW w:w="2126" w:type="dxa"/>
            <w:tcBorders>
              <w:top w:val="single" w:sz="4" w:space="0" w:color="auto"/>
              <w:left w:val="single" w:sz="4" w:space="0" w:color="auto"/>
              <w:bottom w:val="single" w:sz="4" w:space="0" w:color="auto"/>
              <w:right w:val="single" w:sz="4" w:space="0" w:color="auto"/>
            </w:tcBorders>
            <w:hideMark/>
          </w:tcPr>
          <w:p w14:paraId="21F256D8"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c>
          <w:tcPr>
            <w:tcW w:w="2268" w:type="dxa"/>
            <w:tcBorders>
              <w:top w:val="single" w:sz="4" w:space="0" w:color="auto"/>
              <w:left w:val="single" w:sz="4" w:space="0" w:color="auto"/>
              <w:bottom w:val="single" w:sz="4" w:space="0" w:color="auto"/>
              <w:right w:val="single" w:sz="4" w:space="0" w:color="auto"/>
            </w:tcBorders>
            <w:hideMark/>
          </w:tcPr>
          <w:p w14:paraId="68FA5616"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r>
      <w:tr w:rsidR="005603BC" w:rsidRPr="005603BC" w14:paraId="1A99038C" w14:textId="77777777" w:rsidTr="005603BC">
        <w:tc>
          <w:tcPr>
            <w:tcW w:w="3333" w:type="dxa"/>
            <w:tcBorders>
              <w:top w:val="single" w:sz="4" w:space="0" w:color="auto"/>
              <w:left w:val="single" w:sz="4" w:space="0" w:color="auto"/>
              <w:bottom w:val="single" w:sz="4" w:space="0" w:color="auto"/>
              <w:right w:val="single" w:sz="4" w:space="0" w:color="auto"/>
            </w:tcBorders>
            <w:hideMark/>
          </w:tcPr>
          <w:p w14:paraId="417EE6EB" w14:textId="77777777" w:rsidR="005603BC" w:rsidRPr="005603BC" w:rsidRDefault="005603BC" w:rsidP="005603BC">
            <w:pPr>
              <w:spacing w:line="360" w:lineRule="auto"/>
              <w:ind w:left="502"/>
              <w:rPr>
                <w:rFonts w:ascii="Palatino Linotype" w:eastAsia="Palatino Linotype" w:hAnsi="Palatino Linotype" w:cs="Palatino Linotype"/>
                <w:b/>
                <w:bCs/>
                <w:lang w:val="en-US"/>
              </w:rPr>
            </w:pPr>
            <w:r w:rsidRPr="005603BC">
              <w:rPr>
                <w:rFonts w:ascii="Palatino Linotype" w:eastAsia="Palatino Linotype" w:hAnsi="Palatino Linotype" w:cs="Palatino Linotype"/>
                <w:b/>
                <w:bCs/>
                <w:lang w:val="en-US"/>
              </w:rPr>
              <w:t>Digital Referral</w:t>
            </w:r>
          </w:p>
          <w:p w14:paraId="3C6D8BF4" w14:textId="77777777" w:rsidR="005603BC" w:rsidRPr="005603BC" w:rsidRDefault="005603BC" w:rsidP="005603BC">
            <w:pPr>
              <w:spacing w:line="360" w:lineRule="auto"/>
              <w:ind w:left="502"/>
              <w:rPr>
                <w:rFonts w:ascii="Palatino Linotype" w:eastAsia="Palatino Linotype" w:hAnsi="Palatino Linotype" w:cs="Palatino Linotype"/>
                <w:b/>
                <w:bCs/>
                <w:i/>
                <w:iCs/>
                <w:lang w:val="en-PH"/>
              </w:rPr>
            </w:pPr>
            <w:r w:rsidRPr="005603BC">
              <w:rPr>
                <w:rFonts w:ascii="Palatino Linotype" w:eastAsia="Palatino Linotype" w:hAnsi="Palatino Linotype" w:cs="Palatino Linotype"/>
                <w:b/>
                <w:bCs/>
                <w:lang w:val="en-US"/>
              </w:rPr>
              <w:t>(</w:t>
            </w:r>
            <w:r w:rsidRPr="005603BC">
              <w:rPr>
                <w:rFonts w:ascii="Palatino Linotype" w:eastAsia="Palatino Linotype" w:hAnsi="Palatino Linotype" w:cs="Palatino Linotype"/>
                <w:b/>
                <w:bCs/>
                <w:i/>
                <w:iCs/>
                <w:lang w:val="en-US"/>
              </w:rPr>
              <w:t>creation and sending)</w:t>
            </w:r>
          </w:p>
        </w:tc>
        <w:tc>
          <w:tcPr>
            <w:tcW w:w="2126" w:type="dxa"/>
            <w:tcBorders>
              <w:top w:val="single" w:sz="4" w:space="0" w:color="auto"/>
              <w:left w:val="single" w:sz="4" w:space="0" w:color="auto"/>
              <w:bottom w:val="single" w:sz="4" w:space="0" w:color="auto"/>
              <w:right w:val="single" w:sz="4" w:space="0" w:color="auto"/>
            </w:tcBorders>
            <w:hideMark/>
          </w:tcPr>
          <w:p w14:paraId="519EED86"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c>
          <w:tcPr>
            <w:tcW w:w="2268" w:type="dxa"/>
            <w:tcBorders>
              <w:top w:val="single" w:sz="4" w:space="0" w:color="auto"/>
              <w:left w:val="single" w:sz="4" w:space="0" w:color="auto"/>
              <w:bottom w:val="single" w:sz="4" w:space="0" w:color="auto"/>
              <w:right w:val="single" w:sz="4" w:space="0" w:color="auto"/>
            </w:tcBorders>
            <w:hideMark/>
          </w:tcPr>
          <w:p w14:paraId="590B1E5F"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r>
      <w:tr w:rsidR="005603BC" w:rsidRPr="005603BC" w14:paraId="4A1B2D3C" w14:textId="77777777" w:rsidTr="005603BC">
        <w:trPr>
          <w:trHeight w:val="434"/>
        </w:trPr>
        <w:tc>
          <w:tcPr>
            <w:tcW w:w="3333" w:type="dxa"/>
            <w:tcBorders>
              <w:top w:val="single" w:sz="4" w:space="0" w:color="auto"/>
              <w:left w:val="single" w:sz="4" w:space="0" w:color="auto"/>
              <w:bottom w:val="single" w:sz="4" w:space="0" w:color="auto"/>
              <w:right w:val="single" w:sz="4" w:space="0" w:color="auto"/>
            </w:tcBorders>
            <w:hideMark/>
          </w:tcPr>
          <w:p w14:paraId="7B29CDF3" w14:textId="77777777" w:rsidR="005603BC" w:rsidRPr="005603BC" w:rsidRDefault="005603BC" w:rsidP="005603BC">
            <w:pPr>
              <w:spacing w:line="360" w:lineRule="auto"/>
              <w:ind w:left="502"/>
              <w:rPr>
                <w:rFonts w:ascii="Palatino Linotype" w:eastAsia="Palatino Linotype" w:hAnsi="Palatino Linotype" w:cs="Palatino Linotype"/>
                <w:b/>
                <w:bCs/>
                <w:lang w:val="en-US"/>
              </w:rPr>
            </w:pPr>
            <w:r w:rsidRPr="005603BC">
              <w:rPr>
                <w:rFonts w:ascii="Palatino Linotype" w:eastAsia="Palatino Linotype" w:hAnsi="Palatino Linotype" w:cs="Palatino Linotype"/>
                <w:b/>
                <w:bCs/>
                <w:lang w:val="en-US"/>
              </w:rPr>
              <w:lastRenderedPageBreak/>
              <w:t>Referral Status Tracking</w:t>
            </w:r>
          </w:p>
          <w:p w14:paraId="0DCED70C" w14:textId="77777777" w:rsidR="005603BC" w:rsidRPr="005603BC" w:rsidRDefault="005603BC" w:rsidP="005603BC">
            <w:pPr>
              <w:spacing w:line="360" w:lineRule="auto"/>
              <w:ind w:left="502"/>
              <w:rPr>
                <w:rFonts w:ascii="Palatino Linotype" w:eastAsia="Palatino Linotype" w:hAnsi="Palatino Linotype" w:cs="Palatino Linotype"/>
                <w:b/>
                <w:bCs/>
                <w:i/>
                <w:iCs/>
                <w:lang w:val="en-PH"/>
              </w:rPr>
            </w:pPr>
            <w:r w:rsidRPr="005603BC">
              <w:rPr>
                <w:rFonts w:ascii="Palatino Linotype" w:eastAsia="Palatino Linotype" w:hAnsi="Palatino Linotype" w:cs="Palatino Linotype"/>
                <w:b/>
                <w:bCs/>
                <w:lang w:val="en-US"/>
              </w:rPr>
              <w:t>(</w:t>
            </w:r>
            <w:r w:rsidRPr="005603BC">
              <w:rPr>
                <w:rFonts w:ascii="Palatino Linotype" w:eastAsia="Palatino Linotype" w:hAnsi="Palatino Linotype" w:cs="Palatino Linotype"/>
                <w:b/>
                <w:bCs/>
                <w:i/>
                <w:iCs/>
                <w:lang w:val="en-US"/>
              </w:rPr>
              <w:t>Created to Complete)</w:t>
            </w:r>
          </w:p>
        </w:tc>
        <w:tc>
          <w:tcPr>
            <w:tcW w:w="2126" w:type="dxa"/>
            <w:tcBorders>
              <w:top w:val="single" w:sz="4" w:space="0" w:color="auto"/>
              <w:left w:val="single" w:sz="4" w:space="0" w:color="auto"/>
              <w:bottom w:val="single" w:sz="4" w:space="0" w:color="auto"/>
              <w:right w:val="single" w:sz="4" w:space="0" w:color="auto"/>
            </w:tcBorders>
            <w:hideMark/>
          </w:tcPr>
          <w:p w14:paraId="531C8CE6"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c>
          <w:tcPr>
            <w:tcW w:w="2268" w:type="dxa"/>
            <w:tcBorders>
              <w:top w:val="single" w:sz="4" w:space="0" w:color="auto"/>
              <w:left w:val="single" w:sz="4" w:space="0" w:color="auto"/>
              <w:bottom w:val="single" w:sz="4" w:space="0" w:color="auto"/>
              <w:right w:val="single" w:sz="4" w:space="0" w:color="auto"/>
            </w:tcBorders>
            <w:hideMark/>
          </w:tcPr>
          <w:p w14:paraId="09562D79"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r>
      <w:tr w:rsidR="005603BC" w:rsidRPr="005603BC" w14:paraId="13866A6C" w14:textId="77777777" w:rsidTr="005603BC">
        <w:tc>
          <w:tcPr>
            <w:tcW w:w="3333" w:type="dxa"/>
            <w:tcBorders>
              <w:top w:val="single" w:sz="4" w:space="0" w:color="auto"/>
              <w:left w:val="single" w:sz="4" w:space="0" w:color="auto"/>
              <w:bottom w:val="single" w:sz="4" w:space="0" w:color="auto"/>
              <w:right w:val="single" w:sz="4" w:space="0" w:color="auto"/>
            </w:tcBorders>
            <w:hideMark/>
          </w:tcPr>
          <w:p w14:paraId="0FA32C12"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Standard Referral Recommendation</w:t>
            </w:r>
          </w:p>
        </w:tc>
        <w:tc>
          <w:tcPr>
            <w:tcW w:w="2126" w:type="dxa"/>
            <w:tcBorders>
              <w:top w:val="single" w:sz="4" w:space="0" w:color="auto"/>
              <w:left w:val="single" w:sz="4" w:space="0" w:color="auto"/>
              <w:bottom w:val="single" w:sz="4" w:space="0" w:color="auto"/>
              <w:right w:val="single" w:sz="4" w:space="0" w:color="auto"/>
            </w:tcBorders>
            <w:hideMark/>
          </w:tcPr>
          <w:p w14:paraId="01DE56C8"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c>
          <w:tcPr>
            <w:tcW w:w="2268" w:type="dxa"/>
            <w:tcBorders>
              <w:top w:val="single" w:sz="4" w:space="0" w:color="auto"/>
              <w:left w:val="single" w:sz="4" w:space="0" w:color="auto"/>
              <w:bottom w:val="single" w:sz="4" w:space="0" w:color="auto"/>
              <w:right w:val="single" w:sz="4" w:space="0" w:color="auto"/>
            </w:tcBorders>
            <w:hideMark/>
          </w:tcPr>
          <w:p w14:paraId="49B3D886"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r>
      <w:tr w:rsidR="005603BC" w:rsidRPr="005603BC" w14:paraId="3F20678D" w14:textId="77777777" w:rsidTr="005603BC">
        <w:tc>
          <w:tcPr>
            <w:tcW w:w="3333" w:type="dxa"/>
            <w:tcBorders>
              <w:top w:val="single" w:sz="4" w:space="0" w:color="auto"/>
              <w:left w:val="single" w:sz="4" w:space="0" w:color="auto"/>
              <w:bottom w:val="single" w:sz="4" w:space="0" w:color="auto"/>
              <w:right w:val="single" w:sz="4" w:space="0" w:color="auto"/>
            </w:tcBorders>
            <w:hideMark/>
          </w:tcPr>
          <w:p w14:paraId="26AD5E45" w14:textId="77777777" w:rsidR="005603BC" w:rsidRPr="005603BC" w:rsidRDefault="005603BC" w:rsidP="005603BC">
            <w:pPr>
              <w:spacing w:line="360" w:lineRule="auto"/>
              <w:ind w:left="502"/>
              <w:rPr>
                <w:rFonts w:ascii="Palatino Linotype" w:eastAsia="Palatino Linotype" w:hAnsi="Palatino Linotype" w:cs="Palatino Linotype"/>
                <w:b/>
                <w:bCs/>
                <w:lang w:val="en-US"/>
              </w:rPr>
            </w:pPr>
            <w:r w:rsidRPr="005603BC">
              <w:rPr>
                <w:rFonts w:ascii="Palatino Linotype" w:eastAsia="Palatino Linotype" w:hAnsi="Palatino Linotype" w:cs="Palatino Linotype"/>
                <w:b/>
                <w:bCs/>
                <w:lang w:val="en-US"/>
              </w:rPr>
              <w:t>Priority Referral</w:t>
            </w:r>
          </w:p>
          <w:p w14:paraId="640636E9" w14:textId="77777777" w:rsidR="005603BC" w:rsidRPr="005603BC" w:rsidRDefault="005603BC" w:rsidP="005603BC">
            <w:pPr>
              <w:spacing w:line="360" w:lineRule="auto"/>
              <w:ind w:left="502"/>
              <w:rPr>
                <w:rFonts w:ascii="Palatino Linotype" w:eastAsia="Palatino Linotype" w:hAnsi="Palatino Linotype" w:cs="Palatino Linotype"/>
                <w:b/>
                <w:bCs/>
                <w:i/>
                <w:iCs/>
                <w:lang w:val="en-US"/>
              </w:rPr>
            </w:pPr>
            <w:r w:rsidRPr="005603BC">
              <w:rPr>
                <w:rFonts w:ascii="Palatino Linotype" w:eastAsia="Palatino Linotype" w:hAnsi="Palatino Linotype" w:cs="Palatino Linotype"/>
                <w:b/>
                <w:bCs/>
                <w:lang w:val="en-US"/>
              </w:rPr>
              <w:t>(</w:t>
            </w:r>
            <w:r w:rsidRPr="005603BC">
              <w:rPr>
                <w:rFonts w:ascii="Palatino Linotype" w:eastAsia="Palatino Linotype" w:hAnsi="Palatino Linotype" w:cs="Palatino Linotype"/>
                <w:b/>
                <w:bCs/>
                <w:i/>
                <w:iCs/>
                <w:lang w:val="en-US"/>
              </w:rPr>
              <w:t>for specialist transfers)</w:t>
            </w:r>
          </w:p>
        </w:tc>
        <w:tc>
          <w:tcPr>
            <w:tcW w:w="2126" w:type="dxa"/>
            <w:tcBorders>
              <w:top w:val="single" w:sz="4" w:space="0" w:color="auto"/>
              <w:left w:val="single" w:sz="4" w:space="0" w:color="auto"/>
              <w:bottom w:val="single" w:sz="4" w:space="0" w:color="auto"/>
              <w:right w:val="single" w:sz="4" w:space="0" w:color="auto"/>
            </w:tcBorders>
            <w:hideMark/>
          </w:tcPr>
          <w:p w14:paraId="5D756B2C"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GB"/>
              </w:rPr>
              <w:t>—</w:t>
            </w:r>
          </w:p>
        </w:tc>
        <w:tc>
          <w:tcPr>
            <w:tcW w:w="2268" w:type="dxa"/>
            <w:tcBorders>
              <w:top w:val="single" w:sz="4" w:space="0" w:color="auto"/>
              <w:left w:val="single" w:sz="4" w:space="0" w:color="auto"/>
              <w:bottom w:val="single" w:sz="4" w:space="0" w:color="auto"/>
              <w:right w:val="single" w:sz="4" w:space="0" w:color="auto"/>
            </w:tcBorders>
            <w:hideMark/>
          </w:tcPr>
          <w:p w14:paraId="7C9D71B7" w14:textId="77777777" w:rsidR="005603BC" w:rsidRPr="005603BC" w:rsidRDefault="005603BC" w:rsidP="005603BC">
            <w:pPr>
              <w:spacing w:line="360" w:lineRule="auto"/>
              <w:ind w:left="502"/>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US"/>
              </w:rPr>
              <w:t>Included</w:t>
            </w:r>
          </w:p>
        </w:tc>
      </w:tr>
    </w:tbl>
    <w:p w14:paraId="59315F9E" w14:textId="77777777" w:rsidR="005603BC" w:rsidRDefault="005603BC" w:rsidP="005603BC">
      <w:pPr>
        <w:spacing w:line="360" w:lineRule="auto"/>
        <w:ind w:left="502"/>
        <w:rPr>
          <w:rFonts w:ascii="Palatino Linotype" w:eastAsia="Palatino Linotype" w:hAnsi="Palatino Linotype" w:cs="Palatino Linotype"/>
          <w:b/>
          <w:bCs/>
          <w:lang w:val="en-PH"/>
        </w:rPr>
      </w:pPr>
    </w:p>
    <w:p w14:paraId="51478AC2" w14:textId="77777777" w:rsidR="005603BC" w:rsidRPr="005603BC" w:rsidRDefault="005603BC" w:rsidP="005603BC">
      <w:pPr>
        <w:spacing w:line="360" w:lineRule="auto"/>
        <w:ind w:left="502"/>
        <w:jc w:val="both"/>
        <w:rPr>
          <w:rFonts w:ascii="Palatino Linotype" w:eastAsia="Palatino Linotype" w:hAnsi="Palatino Linotype" w:cs="Palatino Linotype"/>
          <w:lang w:val="en-US"/>
        </w:rPr>
      </w:pPr>
      <w:r w:rsidRPr="005603BC">
        <w:rPr>
          <w:rFonts w:ascii="Palatino Linotype" w:eastAsia="Palatino Linotype" w:hAnsi="Palatino Linotype" w:cs="Palatino Linotype"/>
          <w:b/>
          <w:bCs/>
          <w:lang w:val="en-US"/>
        </w:rPr>
        <w:t xml:space="preserve">    </w:t>
      </w:r>
      <w:r w:rsidRPr="005603BC">
        <w:rPr>
          <w:rFonts w:ascii="Palatino Linotype" w:eastAsia="Palatino Linotype" w:hAnsi="Palatino Linotype" w:cs="Palatino Linotype"/>
          <w:lang w:val="en-US"/>
        </w:rPr>
        <w:t xml:space="preserve">      For example, a clinic with 25 active patients on Premium pays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499 per month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 xml:space="preserve">5,988 per year). If it upgrades to Premium+, it pays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599 per month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 xml:space="preserve">7,188 per year) and gets priority referral recommendations. If its patient volume grows to 45, it moves to the 1–50 bracket at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 xml:space="preserve">749 (Premium) or </w:t>
      </w:r>
      <w:r w:rsidRPr="005603BC">
        <w:rPr>
          <w:rFonts w:ascii="Times New Roman" w:eastAsia="Palatino Linotype" w:hAnsi="Times New Roman" w:cs="Times New Roman"/>
          <w:lang w:val="en-US"/>
        </w:rPr>
        <w:t>₱</w:t>
      </w:r>
      <w:r w:rsidRPr="005603BC">
        <w:rPr>
          <w:rFonts w:ascii="Palatino Linotype" w:eastAsia="Palatino Linotype" w:hAnsi="Palatino Linotype" w:cs="Palatino Linotype"/>
          <w:lang w:val="en-US"/>
        </w:rPr>
        <w:t>849 (Premium+) per month. Patients never pay; only the facility subscribes.</w:t>
      </w:r>
    </w:p>
    <w:p w14:paraId="65B939BE" w14:textId="77777777" w:rsidR="005603BC" w:rsidRDefault="005603BC" w:rsidP="005603BC">
      <w:pPr>
        <w:spacing w:line="360" w:lineRule="auto"/>
        <w:jc w:val="both"/>
        <w:rPr>
          <w:rFonts w:ascii="Palatino Linotype" w:eastAsia="Palatino Linotype" w:hAnsi="Palatino Linotype" w:cs="Palatino Linotype"/>
          <w:b/>
          <w:bCs/>
          <w:lang w:val="en-PH"/>
        </w:rPr>
      </w:pPr>
    </w:p>
    <w:p w14:paraId="1E84FF51" w14:textId="74FCAEDE" w:rsidR="009E3060" w:rsidRPr="009E3060" w:rsidRDefault="005603BC" w:rsidP="009E3060">
      <w:pPr>
        <w:spacing w:line="360" w:lineRule="auto"/>
        <w:ind w:firstLine="502"/>
        <w:jc w:val="both"/>
        <w:rPr>
          <w:rFonts w:ascii="Palatino Linotype" w:eastAsia="Palatino Linotype" w:hAnsi="Palatino Linotype" w:cs="Palatino Linotype"/>
          <w:b/>
          <w:bCs/>
        </w:rPr>
      </w:pPr>
      <w:r>
        <w:rPr>
          <w:rFonts w:ascii="Palatino Linotype" w:eastAsia="Palatino Linotype" w:hAnsi="Palatino Linotype" w:cs="Palatino Linotype"/>
          <w:b/>
          <w:bCs/>
        </w:rPr>
        <w:t xml:space="preserve">VITAL </w:t>
      </w:r>
      <w:r w:rsidR="006E0B2F" w:rsidRPr="005603BC">
        <w:rPr>
          <w:rFonts w:ascii="Palatino Linotype" w:eastAsia="Palatino Linotype" w:hAnsi="Palatino Linotype" w:cs="Palatino Linotype"/>
          <w:b/>
          <w:bCs/>
        </w:rPr>
        <w:t>Subscription Tier</w:t>
      </w:r>
      <w:r w:rsidR="009E3060">
        <w:rPr>
          <w:rFonts w:ascii="Palatino Linotype" w:eastAsia="Palatino Linotype" w:hAnsi="Palatino Linotype" w:cs="Palatino Linotype"/>
          <w:b/>
          <w:bCs/>
        </w:rPr>
        <w:t>s</w:t>
      </w:r>
    </w:p>
    <w:tbl>
      <w:tblPr>
        <w:tblpPr w:leftFromText="180" w:rightFromText="180" w:topFromText="180" w:bottomFromText="180" w:vertAnchor="text" w:horzAnchor="page" w:tblpX="2238" w:tblpY="303"/>
        <w:tblW w:w="8072" w:type="dxa"/>
        <w:tblBorders>
          <w:insideH w:val="nil"/>
          <w:insideV w:val="nil"/>
        </w:tblBorders>
        <w:tblLayout w:type="fixed"/>
        <w:tblLook w:val="0600" w:firstRow="0" w:lastRow="0" w:firstColumn="0" w:lastColumn="0" w:noHBand="1" w:noVBand="1"/>
      </w:tblPr>
      <w:tblGrid>
        <w:gridCol w:w="2062"/>
        <w:gridCol w:w="2183"/>
        <w:gridCol w:w="1984"/>
        <w:gridCol w:w="1843"/>
      </w:tblGrid>
      <w:tr w:rsidR="005603BC" w:rsidRPr="005603BC" w14:paraId="69089CED" w14:textId="77777777" w:rsidTr="009E3060">
        <w:trPr>
          <w:trHeight w:val="270"/>
        </w:trPr>
        <w:tc>
          <w:tcPr>
            <w:tcW w:w="2062" w:type="dxa"/>
            <w:tcBorders>
              <w:top w:val="single" w:sz="6" w:space="0" w:color="000000"/>
              <w:left w:val="single" w:sz="6" w:space="0" w:color="000000"/>
              <w:bottom w:val="single" w:sz="6" w:space="0" w:color="000000"/>
              <w:right w:val="single" w:sz="6" w:space="0" w:color="000000"/>
            </w:tcBorders>
            <w:hideMark/>
          </w:tcPr>
          <w:p w14:paraId="282B33CD" w14:textId="77777777" w:rsidR="005603BC" w:rsidRPr="005603BC" w:rsidRDefault="005603BC" w:rsidP="009E3060">
            <w:pPr>
              <w:spacing w:line="360" w:lineRule="auto"/>
              <w:jc w:val="both"/>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Tier</w:t>
            </w:r>
          </w:p>
        </w:tc>
        <w:tc>
          <w:tcPr>
            <w:tcW w:w="2183" w:type="dxa"/>
            <w:tcBorders>
              <w:top w:val="single" w:sz="6" w:space="0" w:color="000000"/>
              <w:left w:val="single" w:sz="6" w:space="0" w:color="000000"/>
              <w:bottom w:val="single" w:sz="6" w:space="0" w:color="000000"/>
              <w:right w:val="single" w:sz="6" w:space="0" w:color="000000"/>
            </w:tcBorders>
            <w:hideMark/>
          </w:tcPr>
          <w:p w14:paraId="1C6F02B0" w14:textId="77777777" w:rsidR="005603BC" w:rsidRPr="005603BC" w:rsidRDefault="005603BC" w:rsidP="009E3060">
            <w:pPr>
              <w:spacing w:line="360" w:lineRule="auto"/>
              <w:jc w:val="both"/>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Active Patients</w:t>
            </w:r>
          </w:p>
        </w:tc>
        <w:tc>
          <w:tcPr>
            <w:tcW w:w="1984" w:type="dxa"/>
            <w:tcBorders>
              <w:top w:val="single" w:sz="6" w:space="0" w:color="000000"/>
              <w:left w:val="single" w:sz="6" w:space="0" w:color="000000"/>
              <w:bottom w:val="single" w:sz="6" w:space="0" w:color="000000"/>
              <w:right w:val="single" w:sz="6" w:space="0" w:color="000000"/>
            </w:tcBorders>
            <w:hideMark/>
          </w:tcPr>
          <w:p w14:paraId="69C6CACA" w14:textId="77777777" w:rsidR="005603BC" w:rsidRPr="005603BC" w:rsidRDefault="005603BC" w:rsidP="009E3060">
            <w:pPr>
              <w:spacing w:line="360" w:lineRule="auto"/>
              <w:jc w:val="both"/>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Monthly</w:t>
            </w:r>
          </w:p>
        </w:tc>
        <w:tc>
          <w:tcPr>
            <w:tcW w:w="1843" w:type="dxa"/>
            <w:tcBorders>
              <w:top w:val="single" w:sz="6" w:space="0" w:color="000000"/>
              <w:left w:val="single" w:sz="6" w:space="0" w:color="000000"/>
              <w:bottom w:val="single" w:sz="6" w:space="0" w:color="000000"/>
              <w:right w:val="single" w:sz="6" w:space="0" w:color="000000"/>
            </w:tcBorders>
            <w:hideMark/>
          </w:tcPr>
          <w:p w14:paraId="0A5E91B6" w14:textId="77777777" w:rsidR="005603BC" w:rsidRPr="005603BC" w:rsidRDefault="005603BC" w:rsidP="009E3060">
            <w:pPr>
              <w:spacing w:line="360" w:lineRule="auto"/>
              <w:jc w:val="both"/>
              <w:rPr>
                <w:rFonts w:ascii="Palatino Linotype" w:eastAsia="Palatino Linotype" w:hAnsi="Palatino Linotype" w:cs="Palatino Linotype"/>
                <w:b/>
                <w:bCs/>
                <w:lang w:val="en-PH"/>
              </w:rPr>
            </w:pPr>
            <w:r w:rsidRPr="005603BC">
              <w:rPr>
                <w:rFonts w:ascii="Palatino Linotype" w:eastAsia="Palatino Linotype" w:hAnsi="Palatino Linotype" w:cs="Palatino Linotype"/>
                <w:b/>
                <w:bCs/>
                <w:lang w:val="en-PH"/>
              </w:rPr>
              <w:t>Annual</w:t>
            </w:r>
          </w:p>
        </w:tc>
      </w:tr>
      <w:tr w:rsidR="005603BC" w:rsidRPr="005603BC" w14:paraId="4C7E18F1" w14:textId="77777777" w:rsidTr="009E3060">
        <w:tc>
          <w:tcPr>
            <w:tcW w:w="2062" w:type="dxa"/>
            <w:vMerge w:val="restart"/>
            <w:tcBorders>
              <w:top w:val="single" w:sz="6" w:space="0" w:color="000000"/>
              <w:left w:val="single" w:sz="6" w:space="0" w:color="000000"/>
              <w:bottom w:val="single" w:sz="6" w:space="0" w:color="000000"/>
              <w:right w:val="single" w:sz="6" w:space="0" w:color="000000"/>
            </w:tcBorders>
            <w:hideMark/>
          </w:tcPr>
          <w:p w14:paraId="0A791794"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Palatino Linotype" w:eastAsia="Palatino Linotype" w:hAnsi="Palatino Linotype" w:cs="Palatino Linotype"/>
                <w:lang w:val="en-US"/>
              </w:rPr>
              <w:t xml:space="preserve">Premium </w:t>
            </w:r>
          </w:p>
        </w:tc>
        <w:tc>
          <w:tcPr>
            <w:tcW w:w="2183" w:type="dxa"/>
            <w:tcBorders>
              <w:top w:val="single" w:sz="6" w:space="0" w:color="000000"/>
              <w:left w:val="single" w:sz="6" w:space="0" w:color="000000"/>
              <w:bottom w:val="single" w:sz="6" w:space="0" w:color="000000"/>
              <w:right w:val="single" w:sz="6" w:space="0" w:color="000000"/>
            </w:tcBorders>
            <w:hideMark/>
          </w:tcPr>
          <w:p w14:paraId="628A3652"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Palatino Linotype" w:eastAsia="Palatino Linotype" w:hAnsi="Palatino Linotype" w:cs="Palatino Linotype"/>
                <w:lang w:val="en-PH"/>
              </w:rPr>
              <w:t>1-30</w:t>
            </w:r>
          </w:p>
        </w:tc>
        <w:tc>
          <w:tcPr>
            <w:tcW w:w="1984" w:type="dxa"/>
            <w:tcBorders>
              <w:top w:val="single" w:sz="6" w:space="0" w:color="000000"/>
              <w:left w:val="single" w:sz="6" w:space="0" w:color="000000"/>
              <w:bottom w:val="single" w:sz="6" w:space="0" w:color="000000"/>
              <w:right w:val="single" w:sz="6" w:space="0" w:color="000000"/>
            </w:tcBorders>
            <w:hideMark/>
          </w:tcPr>
          <w:p w14:paraId="6B52D269"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Times New Roman" w:eastAsia="Palatino Linotype" w:hAnsi="Times New Roman" w:cs="Times New Roman"/>
                <w:lang w:val="en-PH"/>
              </w:rPr>
              <w:t>₱</w:t>
            </w:r>
            <w:r w:rsidRPr="005603BC">
              <w:rPr>
                <w:rFonts w:ascii="Palatino Linotype" w:eastAsia="Palatino Linotype" w:hAnsi="Palatino Linotype" w:cs="Palatino Linotype"/>
                <w:lang w:val="en-PH"/>
              </w:rPr>
              <w:t>499</w:t>
            </w:r>
          </w:p>
        </w:tc>
        <w:tc>
          <w:tcPr>
            <w:tcW w:w="1843" w:type="dxa"/>
            <w:tcBorders>
              <w:top w:val="single" w:sz="6" w:space="0" w:color="000000"/>
              <w:left w:val="single" w:sz="6" w:space="0" w:color="000000"/>
              <w:bottom w:val="single" w:sz="6" w:space="0" w:color="000000"/>
              <w:right w:val="single" w:sz="6" w:space="0" w:color="000000"/>
            </w:tcBorders>
            <w:hideMark/>
          </w:tcPr>
          <w:p w14:paraId="635EF230"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Times New Roman" w:eastAsia="Palatino Linotype" w:hAnsi="Times New Roman" w:cs="Times New Roman"/>
                <w:lang w:val="en-PH"/>
              </w:rPr>
              <w:t>₱</w:t>
            </w:r>
            <w:r w:rsidRPr="005603BC">
              <w:rPr>
                <w:rFonts w:ascii="Palatino Linotype" w:eastAsia="Palatino Linotype" w:hAnsi="Palatino Linotype" w:cs="Palatino Linotype"/>
                <w:lang w:val="en-PH"/>
              </w:rPr>
              <w:t>5,98</w:t>
            </w:r>
            <w:r w:rsidRPr="005603BC">
              <w:rPr>
                <w:rFonts w:ascii="Palatino Linotype" w:eastAsia="Palatino Linotype" w:hAnsi="Palatino Linotype" w:cs="Palatino Linotype"/>
                <w:lang w:val="en-US"/>
              </w:rPr>
              <w:t>8</w:t>
            </w:r>
          </w:p>
        </w:tc>
      </w:tr>
      <w:tr w:rsidR="005603BC" w:rsidRPr="005603BC" w14:paraId="097E9334" w14:textId="77777777" w:rsidTr="009E3060">
        <w:trPr>
          <w:trHeight w:val="124"/>
        </w:trPr>
        <w:tc>
          <w:tcPr>
            <w:tcW w:w="2062" w:type="dxa"/>
            <w:vMerge/>
            <w:tcBorders>
              <w:top w:val="single" w:sz="6" w:space="0" w:color="000000"/>
              <w:left w:val="single" w:sz="6" w:space="0" w:color="000000"/>
              <w:bottom w:val="single" w:sz="6" w:space="0" w:color="000000"/>
              <w:right w:val="single" w:sz="6" w:space="0" w:color="000000"/>
            </w:tcBorders>
            <w:vAlign w:val="center"/>
            <w:hideMark/>
          </w:tcPr>
          <w:p w14:paraId="1C8FB8E8" w14:textId="77777777" w:rsidR="005603BC" w:rsidRPr="005603BC" w:rsidRDefault="005603BC" w:rsidP="009E3060">
            <w:pPr>
              <w:spacing w:line="360" w:lineRule="auto"/>
              <w:jc w:val="both"/>
              <w:rPr>
                <w:rFonts w:ascii="Palatino Linotype" w:eastAsia="Palatino Linotype" w:hAnsi="Palatino Linotype" w:cs="Palatino Linotype"/>
                <w:lang w:val="en-PH"/>
              </w:rPr>
            </w:pPr>
          </w:p>
        </w:tc>
        <w:tc>
          <w:tcPr>
            <w:tcW w:w="2183" w:type="dxa"/>
            <w:tcBorders>
              <w:top w:val="single" w:sz="6" w:space="0" w:color="000000"/>
              <w:left w:val="single" w:sz="6" w:space="0" w:color="000000"/>
              <w:bottom w:val="single" w:sz="6" w:space="0" w:color="000000"/>
              <w:right w:val="single" w:sz="6" w:space="0" w:color="000000"/>
            </w:tcBorders>
            <w:hideMark/>
          </w:tcPr>
          <w:p w14:paraId="50B57093"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Palatino Linotype" w:eastAsia="Palatino Linotype" w:hAnsi="Palatino Linotype" w:cs="Palatino Linotype"/>
                <w:lang w:val="en-US"/>
              </w:rPr>
              <w:t>1-50</w:t>
            </w:r>
          </w:p>
        </w:tc>
        <w:tc>
          <w:tcPr>
            <w:tcW w:w="1984" w:type="dxa"/>
            <w:tcBorders>
              <w:top w:val="single" w:sz="6" w:space="0" w:color="000000"/>
              <w:left w:val="single" w:sz="6" w:space="0" w:color="000000"/>
              <w:bottom w:val="single" w:sz="6" w:space="0" w:color="000000"/>
              <w:right w:val="single" w:sz="6" w:space="0" w:color="000000"/>
            </w:tcBorders>
            <w:hideMark/>
          </w:tcPr>
          <w:p w14:paraId="5BAC9E81"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749</w:t>
            </w:r>
          </w:p>
        </w:tc>
        <w:tc>
          <w:tcPr>
            <w:tcW w:w="1843" w:type="dxa"/>
            <w:tcBorders>
              <w:top w:val="single" w:sz="6" w:space="0" w:color="000000"/>
              <w:left w:val="single" w:sz="6" w:space="0" w:color="000000"/>
              <w:bottom w:val="single" w:sz="6" w:space="0" w:color="000000"/>
              <w:right w:val="single" w:sz="6" w:space="0" w:color="000000"/>
            </w:tcBorders>
            <w:hideMark/>
          </w:tcPr>
          <w:p w14:paraId="0849924F"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8,988</w:t>
            </w:r>
          </w:p>
        </w:tc>
      </w:tr>
      <w:tr w:rsidR="005603BC" w:rsidRPr="005603BC" w14:paraId="12C0C909" w14:textId="77777777" w:rsidTr="009E3060">
        <w:tc>
          <w:tcPr>
            <w:tcW w:w="2062" w:type="dxa"/>
            <w:vMerge/>
            <w:tcBorders>
              <w:top w:val="single" w:sz="6" w:space="0" w:color="000000"/>
              <w:left w:val="single" w:sz="6" w:space="0" w:color="000000"/>
              <w:bottom w:val="single" w:sz="6" w:space="0" w:color="000000"/>
              <w:right w:val="single" w:sz="6" w:space="0" w:color="000000"/>
            </w:tcBorders>
            <w:vAlign w:val="center"/>
            <w:hideMark/>
          </w:tcPr>
          <w:p w14:paraId="57E1F5B3" w14:textId="77777777" w:rsidR="005603BC" w:rsidRPr="005603BC" w:rsidRDefault="005603BC" w:rsidP="009E3060">
            <w:pPr>
              <w:spacing w:line="360" w:lineRule="auto"/>
              <w:jc w:val="both"/>
              <w:rPr>
                <w:rFonts w:ascii="Palatino Linotype" w:eastAsia="Palatino Linotype" w:hAnsi="Palatino Linotype" w:cs="Palatino Linotype"/>
                <w:lang w:val="en-PH"/>
              </w:rPr>
            </w:pPr>
          </w:p>
        </w:tc>
        <w:tc>
          <w:tcPr>
            <w:tcW w:w="2183" w:type="dxa"/>
            <w:tcBorders>
              <w:top w:val="single" w:sz="6" w:space="0" w:color="000000"/>
              <w:left w:val="single" w:sz="6" w:space="0" w:color="000000"/>
              <w:bottom w:val="single" w:sz="6" w:space="0" w:color="000000"/>
              <w:right w:val="single" w:sz="6" w:space="0" w:color="000000"/>
            </w:tcBorders>
            <w:hideMark/>
          </w:tcPr>
          <w:p w14:paraId="129BBCA1" w14:textId="77777777" w:rsidR="005603BC" w:rsidRPr="005603BC" w:rsidRDefault="005603BC" w:rsidP="009E3060">
            <w:pPr>
              <w:spacing w:line="360" w:lineRule="auto"/>
              <w:jc w:val="both"/>
              <w:rPr>
                <w:rFonts w:ascii="Palatino Linotype" w:eastAsia="Palatino Linotype" w:hAnsi="Palatino Linotype" w:cs="Palatino Linotype"/>
                <w:lang w:val="en-US"/>
              </w:rPr>
            </w:pPr>
            <w:r w:rsidRPr="005603BC">
              <w:rPr>
                <w:rFonts w:ascii="Palatino Linotype" w:eastAsia="Palatino Linotype" w:hAnsi="Palatino Linotype" w:cs="Palatino Linotype"/>
                <w:lang w:val="en-US"/>
              </w:rPr>
              <w:t>1-100</w:t>
            </w:r>
          </w:p>
        </w:tc>
        <w:tc>
          <w:tcPr>
            <w:tcW w:w="1984" w:type="dxa"/>
            <w:tcBorders>
              <w:top w:val="single" w:sz="6" w:space="0" w:color="000000"/>
              <w:left w:val="single" w:sz="6" w:space="0" w:color="000000"/>
              <w:bottom w:val="single" w:sz="6" w:space="0" w:color="000000"/>
              <w:right w:val="single" w:sz="6" w:space="0" w:color="000000"/>
            </w:tcBorders>
            <w:hideMark/>
          </w:tcPr>
          <w:p w14:paraId="7BA035D7"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999</w:t>
            </w:r>
          </w:p>
        </w:tc>
        <w:tc>
          <w:tcPr>
            <w:tcW w:w="1843" w:type="dxa"/>
            <w:tcBorders>
              <w:top w:val="single" w:sz="6" w:space="0" w:color="000000"/>
              <w:left w:val="single" w:sz="6" w:space="0" w:color="000000"/>
              <w:bottom w:val="single" w:sz="6" w:space="0" w:color="000000"/>
              <w:right w:val="single" w:sz="6" w:space="0" w:color="000000"/>
            </w:tcBorders>
            <w:hideMark/>
          </w:tcPr>
          <w:p w14:paraId="4C3E72A4"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11,988</w:t>
            </w:r>
          </w:p>
        </w:tc>
      </w:tr>
      <w:tr w:rsidR="005603BC" w:rsidRPr="005603BC" w14:paraId="211DC91B" w14:textId="77777777" w:rsidTr="009E3060">
        <w:trPr>
          <w:trHeight w:val="170"/>
        </w:trPr>
        <w:tc>
          <w:tcPr>
            <w:tcW w:w="2062" w:type="dxa"/>
            <w:vMerge w:val="restart"/>
            <w:tcBorders>
              <w:top w:val="single" w:sz="6" w:space="0" w:color="000000"/>
              <w:left w:val="single" w:sz="6" w:space="0" w:color="000000"/>
              <w:bottom w:val="single" w:sz="6" w:space="0" w:color="000000"/>
              <w:right w:val="single" w:sz="6" w:space="0" w:color="000000"/>
            </w:tcBorders>
            <w:hideMark/>
          </w:tcPr>
          <w:p w14:paraId="08ED0E61" w14:textId="77777777" w:rsidR="005603BC" w:rsidRPr="005603BC" w:rsidRDefault="005603BC" w:rsidP="009E3060">
            <w:pPr>
              <w:spacing w:line="360" w:lineRule="auto"/>
              <w:jc w:val="both"/>
              <w:rPr>
                <w:rFonts w:ascii="Palatino Linotype" w:eastAsia="Palatino Linotype" w:hAnsi="Palatino Linotype" w:cs="Palatino Linotype"/>
                <w:lang w:val="en-PH"/>
              </w:rPr>
            </w:pPr>
            <w:r w:rsidRPr="005603BC">
              <w:rPr>
                <w:rFonts w:ascii="Palatino Linotype" w:eastAsia="Palatino Linotype" w:hAnsi="Palatino Linotype" w:cs="Palatino Linotype"/>
                <w:lang w:val="en-US"/>
              </w:rPr>
              <w:t>Premium+</w:t>
            </w:r>
          </w:p>
        </w:tc>
        <w:tc>
          <w:tcPr>
            <w:tcW w:w="2183" w:type="dxa"/>
            <w:tcBorders>
              <w:top w:val="single" w:sz="6" w:space="0" w:color="000000"/>
              <w:left w:val="single" w:sz="6" w:space="0" w:color="000000"/>
              <w:bottom w:val="single" w:sz="6" w:space="0" w:color="000000"/>
              <w:right w:val="single" w:sz="6" w:space="0" w:color="000000"/>
            </w:tcBorders>
            <w:hideMark/>
          </w:tcPr>
          <w:p w14:paraId="094D43E2" w14:textId="77777777" w:rsidR="005603BC" w:rsidRPr="005603BC" w:rsidRDefault="005603BC" w:rsidP="009E3060">
            <w:pPr>
              <w:spacing w:line="360" w:lineRule="auto"/>
              <w:jc w:val="both"/>
              <w:rPr>
                <w:rFonts w:ascii="Palatino Linotype" w:eastAsia="Palatino Linotype" w:hAnsi="Palatino Linotype" w:cs="Palatino Linotype"/>
                <w:lang w:val="en-US"/>
              </w:rPr>
            </w:pPr>
            <w:r w:rsidRPr="005603BC">
              <w:rPr>
                <w:rFonts w:ascii="Palatino Linotype" w:eastAsia="Palatino Linotype" w:hAnsi="Palatino Linotype" w:cs="Palatino Linotype"/>
                <w:lang w:val="en-US"/>
              </w:rPr>
              <w:t>1-30</w:t>
            </w:r>
          </w:p>
        </w:tc>
        <w:tc>
          <w:tcPr>
            <w:tcW w:w="1984" w:type="dxa"/>
            <w:tcBorders>
              <w:top w:val="single" w:sz="6" w:space="0" w:color="000000"/>
              <w:left w:val="single" w:sz="6" w:space="0" w:color="000000"/>
              <w:bottom w:val="single" w:sz="6" w:space="0" w:color="000000"/>
              <w:right w:val="single" w:sz="6" w:space="0" w:color="000000"/>
            </w:tcBorders>
            <w:hideMark/>
          </w:tcPr>
          <w:p w14:paraId="7431E1C2"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599</w:t>
            </w:r>
          </w:p>
        </w:tc>
        <w:tc>
          <w:tcPr>
            <w:tcW w:w="1843" w:type="dxa"/>
            <w:tcBorders>
              <w:top w:val="single" w:sz="6" w:space="0" w:color="000000"/>
              <w:left w:val="single" w:sz="6" w:space="0" w:color="000000"/>
              <w:bottom w:val="single" w:sz="6" w:space="0" w:color="000000"/>
              <w:right w:val="single" w:sz="6" w:space="0" w:color="000000"/>
            </w:tcBorders>
            <w:hideMark/>
          </w:tcPr>
          <w:p w14:paraId="38AEB335"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7,188</w:t>
            </w:r>
          </w:p>
        </w:tc>
      </w:tr>
      <w:tr w:rsidR="005603BC" w:rsidRPr="005603BC" w14:paraId="60A1B873" w14:textId="77777777" w:rsidTr="009E3060">
        <w:tc>
          <w:tcPr>
            <w:tcW w:w="2062" w:type="dxa"/>
            <w:vMerge/>
            <w:tcBorders>
              <w:top w:val="single" w:sz="6" w:space="0" w:color="000000"/>
              <w:left w:val="single" w:sz="6" w:space="0" w:color="000000"/>
              <w:bottom w:val="single" w:sz="6" w:space="0" w:color="000000"/>
              <w:right w:val="single" w:sz="6" w:space="0" w:color="000000"/>
            </w:tcBorders>
            <w:vAlign w:val="center"/>
            <w:hideMark/>
          </w:tcPr>
          <w:p w14:paraId="0EB8C3EA" w14:textId="77777777" w:rsidR="005603BC" w:rsidRPr="005603BC" w:rsidRDefault="005603BC" w:rsidP="009E3060">
            <w:pPr>
              <w:spacing w:line="360" w:lineRule="auto"/>
              <w:jc w:val="both"/>
              <w:rPr>
                <w:rFonts w:ascii="Palatino Linotype" w:eastAsia="Palatino Linotype" w:hAnsi="Palatino Linotype" w:cs="Palatino Linotype"/>
                <w:lang w:val="en-PH"/>
              </w:rPr>
            </w:pPr>
          </w:p>
        </w:tc>
        <w:tc>
          <w:tcPr>
            <w:tcW w:w="2183" w:type="dxa"/>
            <w:tcBorders>
              <w:top w:val="single" w:sz="6" w:space="0" w:color="000000"/>
              <w:left w:val="single" w:sz="6" w:space="0" w:color="000000"/>
              <w:bottom w:val="single" w:sz="6" w:space="0" w:color="000000"/>
              <w:right w:val="single" w:sz="6" w:space="0" w:color="000000"/>
            </w:tcBorders>
            <w:hideMark/>
          </w:tcPr>
          <w:p w14:paraId="614096D6" w14:textId="77777777" w:rsidR="005603BC" w:rsidRPr="005603BC" w:rsidRDefault="005603BC" w:rsidP="009E3060">
            <w:pPr>
              <w:spacing w:line="360" w:lineRule="auto"/>
              <w:jc w:val="both"/>
              <w:rPr>
                <w:rFonts w:ascii="Palatino Linotype" w:eastAsia="Palatino Linotype" w:hAnsi="Palatino Linotype" w:cs="Palatino Linotype"/>
                <w:lang w:val="en-US"/>
              </w:rPr>
            </w:pPr>
            <w:r w:rsidRPr="005603BC">
              <w:rPr>
                <w:rFonts w:ascii="Palatino Linotype" w:eastAsia="Palatino Linotype" w:hAnsi="Palatino Linotype" w:cs="Palatino Linotype"/>
                <w:lang w:val="en-US"/>
              </w:rPr>
              <w:t>1-50</w:t>
            </w:r>
          </w:p>
        </w:tc>
        <w:tc>
          <w:tcPr>
            <w:tcW w:w="1984" w:type="dxa"/>
            <w:tcBorders>
              <w:top w:val="single" w:sz="6" w:space="0" w:color="000000"/>
              <w:left w:val="single" w:sz="6" w:space="0" w:color="000000"/>
              <w:bottom w:val="single" w:sz="6" w:space="0" w:color="000000"/>
              <w:right w:val="single" w:sz="6" w:space="0" w:color="000000"/>
            </w:tcBorders>
            <w:hideMark/>
          </w:tcPr>
          <w:p w14:paraId="05E77DBE"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849</w:t>
            </w:r>
          </w:p>
        </w:tc>
        <w:tc>
          <w:tcPr>
            <w:tcW w:w="1843" w:type="dxa"/>
            <w:tcBorders>
              <w:top w:val="single" w:sz="6" w:space="0" w:color="000000"/>
              <w:left w:val="single" w:sz="6" w:space="0" w:color="000000"/>
              <w:bottom w:val="single" w:sz="6" w:space="0" w:color="000000"/>
              <w:right w:val="single" w:sz="6" w:space="0" w:color="000000"/>
            </w:tcBorders>
            <w:hideMark/>
          </w:tcPr>
          <w:p w14:paraId="1CCF8804"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10,188</w:t>
            </w:r>
          </w:p>
        </w:tc>
      </w:tr>
      <w:tr w:rsidR="005603BC" w:rsidRPr="005603BC" w14:paraId="467C65E4" w14:textId="77777777" w:rsidTr="009E3060">
        <w:trPr>
          <w:trHeight w:val="195"/>
        </w:trPr>
        <w:tc>
          <w:tcPr>
            <w:tcW w:w="2062" w:type="dxa"/>
            <w:vMerge/>
            <w:tcBorders>
              <w:top w:val="single" w:sz="6" w:space="0" w:color="000000"/>
              <w:left w:val="single" w:sz="6" w:space="0" w:color="000000"/>
              <w:bottom w:val="single" w:sz="6" w:space="0" w:color="000000"/>
              <w:right w:val="single" w:sz="6" w:space="0" w:color="000000"/>
            </w:tcBorders>
            <w:vAlign w:val="center"/>
            <w:hideMark/>
          </w:tcPr>
          <w:p w14:paraId="372DFA0E" w14:textId="77777777" w:rsidR="005603BC" w:rsidRPr="005603BC" w:rsidRDefault="005603BC" w:rsidP="009E3060">
            <w:pPr>
              <w:spacing w:line="360" w:lineRule="auto"/>
              <w:jc w:val="both"/>
              <w:rPr>
                <w:rFonts w:ascii="Palatino Linotype" w:eastAsia="Palatino Linotype" w:hAnsi="Palatino Linotype" w:cs="Palatino Linotype"/>
                <w:lang w:val="en-PH"/>
              </w:rPr>
            </w:pPr>
          </w:p>
        </w:tc>
        <w:tc>
          <w:tcPr>
            <w:tcW w:w="2183" w:type="dxa"/>
            <w:tcBorders>
              <w:top w:val="single" w:sz="6" w:space="0" w:color="000000"/>
              <w:left w:val="single" w:sz="6" w:space="0" w:color="000000"/>
              <w:bottom w:val="single" w:sz="6" w:space="0" w:color="000000"/>
              <w:right w:val="single" w:sz="6" w:space="0" w:color="000000"/>
            </w:tcBorders>
            <w:hideMark/>
          </w:tcPr>
          <w:p w14:paraId="79DEC299" w14:textId="77777777" w:rsidR="005603BC" w:rsidRPr="005603BC" w:rsidRDefault="005603BC" w:rsidP="009E3060">
            <w:pPr>
              <w:spacing w:line="360" w:lineRule="auto"/>
              <w:jc w:val="both"/>
              <w:rPr>
                <w:rFonts w:ascii="Palatino Linotype" w:eastAsia="Palatino Linotype" w:hAnsi="Palatino Linotype" w:cs="Palatino Linotype"/>
                <w:lang w:val="en-US"/>
              </w:rPr>
            </w:pPr>
            <w:r w:rsidRPr="005603BC">
              <w:rPr>
                <w:rFonts w:ascii="Palatino Linotype" w:eastAsia="Palatino Linotype" w:hAnsi="Palatino Linotype" w:cs="Palatino Linotype"/>
                <w:lang w:val="en-US"/>
              </w:rPr>
              <w:t>1-100</w:t>
            </w:r>
          </w:p>
        </w:tc>
        <w:tc>
          <w:tcPr>
            <w:tcW w:w="1984" w:type="dxa"/>
            <w:tcBorders>
              <w:top w:val="single" w:sz="6" w:space="0" w:color="000000"/>
              <w:left w:val="single" w:sz="6" w:space="0" w:color="000000"/>
              <w:bottom w:val="single" w:sz="6" w:space="0" w:color="000000"/>
              <w:right w:val="single" w:sz="6" w:space="0" w:color="000000"/>
            </w:tcBorders>
            <w:hideMark/>
          </w:tcPr>
          <w:p w14:paraId="71DC6DC7" w14:textId="79565496"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1</w:t>
            </w:r>
            <w:r w:rsidR="000B63FC">
              <w:rPr>
                <w:rFonts w:ascii="Palatino Linotype" w:eastAsia="Palatino Linotype" w:hAnsi="Palatino Linotype" w:cs="Palatino Linotype"/>
                <w:lang w:val="en-US"/>
              </w:rPr>
              <w:t>,</w:t>
            </w:r>
            <w:r w:rsidRPr="005603BC">
              <w:rPr>
                <w:rFonts w:ascii="Palatino Linotype" w:eastAsia="Palatino Linotype" w:hAnsi="Palatino Linotype" w:cs="Palatino Linotype"/>
                <w:lang w:val="en-US"/>
              </w:rPr>
              <w:t>099</w:t>
            </w:r>
          </w:p>
        </w:tc>
        <w:tc>
          <w:tcPr>
            <w:tcW w:w="1843" w:type="dxa"/>
            <w:tcBorders>
              <w:top w:val="single" w:sz="6" w:space="0" w:color="000000"/>
              <w:left w:val="single" w:sz="6" w:space="0" w:color="000000"/>
              <w:bottom w:val="single" w:sz="6" w:space="0" w:color="000000"/>
              <w:right w:val="single" w:sz="6" w:space="0" w:color="000000"/>
            </w:tcBorders>
            <w:hideMark/>
          </w:tcPr>
          <w:p w14:paraId="306C516C" w14:textId="77777777" w:rsidR="005603BC" w:rsidRPr="005603BC" w:rsidRDefault="005603BC" w:rsidP="009E3060">
            <w:pPr>
              <w:spacing w:line="360" w:lineRule="auto"/>
              <w:jc w:val="both"/>
              <w:rPr>
                <w:rFonts w:ascii="Palatino Linotype" w:eastAsia="Palatino Linotype" w:hAnsi="Palatino Linotype" w:cs="Palatino Linotype"/>
                <w:lang w:val="en-GB"/>
              </w:rPr>
            </w:pPr>
            <w:r w:rsidRPr="005603BC">
              <w:rPr>
                <w:rFonts w:ascii="Times New Roman" w:eastAsia="Palatino Linotype" w:hAnsi="Times New Roman" w:cs="Times New Roman"/>
                <w:lang w:val="en-GB"/>
              </w:rPr>
              <w:t>₱</w:t>
            </w:r>
            <w:r w:rsidRPr="005603BC">
              <w:rPr>
                <w:rFonts w:ascii="Palatino Linotype" w:eastAsia="Palatino Linotype" w:hAnsi="Palatino Linotype" w:cs="Palatino Linotype"/>
                <w:lang w:val="en-US"/>
              </w:rPr>
              <w:t>13,188</w:t>
            </w:r>
          </w:p>
        </w:tc>
      </w:tr>
    </w:tbl>
    <w:p w14:paraId="2559F802" w14:textId="77777777" w:rsidR="009E3060" w:rsidRPr="009E3060" w:rsidRDefault="009E3060" w:rsidP="009E3060">
      <w:pPr>
        <w:spacing w:line="360" w:lineRule="auto"/>
        <w:ind w:left="426"/>
        <w:jc w:val="both"/>
        <w:rPr>
          <w:rFonts w:ascii="Palatino Linotype" w:eastAsia="Palatino Linotype" w:hAnsi="Palatino Linotype" w:cs="Palatino Linotype"/>
          <w:lang w:val="en-PH"/>
        </w:rPr>
      </w:pPr>
      <w:r w:rsidRPr="009E3060">
        <w:rPr>
          <w:rFonts w:ascii="Palatino Linotype" w:eastAsia="Palatino Linotype" w:hAnsi="Palatino Linotype" w:cs="Palatino Linotype"/>
          <w:lang w:val="en-PH"/>
        </w:rPr>
        <w:t>Prices are a proposed planning assumption only, pending validation through pilot partner interviews and willingness-to-pay data collected during the Bohol pilot — not a market-tested figure.</w:t>
      </w:r>
    </w:p>
    <w:p w14:paraId="1264A991" w14:textId="77777777" w:rsidR="009E3060" w:rsidRDefault="009E3060" w:rsidP="006364B4">
      <w:pPr>
        <w:spacing w:line="360" w:lineRule="auto"/>
        <w:ind w:left="709"/>
        <w:jc w:val="both"/>
        <w:rPr>
          <w:rFonts w:ascii="Palatino Linotype" w:eastAsia="Palatino Linotype" w:hAnsi="Palatino Linotype" w:cs="Palatino Linotype"/>
        </w:rPr>
      </w:pPr>
    </w:p>
    <w:p w14:paraId="14A0F1F6" w14:textId="77777777" w:rsidR="009E3060" w:rsidRPr="009E3060" w:rsidRDefault="009E3060" w:rsidP="009E3060">
      <w:pPr>
        <w:spacing w:line="360" w:lineRule="auto"/>
        <w:ind w:left="-284" w:firstLine="709"/>
        <w:jc w:val="both"/>
        <w:rPr>
          <w:rFonts w:ascii="Palatino Linotype" w:eastAsia="Palatino Linotype" w:hAnsi="Palatino Linotype" w:cs="Palatino Linotype"/>
          <w:lang w:val="en-PH"/>
        </w:rPr>
      </w:pPr>
      <w:r w:rsidRPr="009E3060">
        <w:rPr>
          <w:rFonts w:ascii="Palatino Linotype" w:eastAsia="Palatino Linotype" w:hAnsi="Palatino Linotype" w:cs="Palatino Linotype"/>
          <w:b/>
          <w:bCs/>
          <w:lang w:val="en-PH"/>
        </w:rPr>
        <w:t>Expansion and Revenue Projection</w:t>
      </w:r>
    </w:p>
    <w:p w14:paraId="2CB023EF" w14:textId="5C42F147" w:rsidR="009E3060" w:rsidRPr="009E3060" w:rsidRDefault="009E3060" w:rsidP="003E4BC0">
      <w:pPr>
        <w:spacing w:line="360" w:lineRule="auto"/>
        <w:ind w:left="426"/>
        <w:jc w:val="both"/>
        <w:rPr>
          <w:rFonts w:ascii="Palatino Linotype" w:eastAsia="Palatino Linotype" w:hAnsi="Palatino Linotype" w:cs="Palatino Linotype"/>
          <w:lang w:val="en-PH"/>
        </w:rPr>
      </w:pPr>
      <w:r w:rsidRPr="009E3060">
        <w:rPr>
          <w:rFonts w:ascii="Palatino Linotype" w:eastAsia="Palatino Linotype" w:hAnsi="Palatino Linotype" w:cs="Palatino Linotype"/>
          <w:lang w:val="en-PH"/>
        </w:rPr>
        <w:t xml:space="preserve">The following projection illustrates a conservative growth path. It starts from a sample base of 10 clinics (5 on Premium and 5 on Premium+, spread across the three patient brackets, as shown below) and adds about 10 clinics per year until all 53 Bohol RHUs are reached in Year 5. The sample mix averages </w:t>
      </w:r>
      <w:r w:rsidRPr="009E3060">
        <w:rPr>
          <w:rFonts w:ascii="Times New Roman" w:eastAsia="Palatino Linotype" w:hAnsi="Times New Roman" w:cs="Times New Roman"/>
          <w:lang w:val="en-PH"/>
        </w:rPr>
        <w:t>₱</w:t>
      </w:r>
      <w:r w:rsidRPr="009E3060">
        <w:rPr>
          <w:rFonts w:ascii="Palatino Linotype" w:eastAsia="Palatino Linotype" w:hAnsi="Palatino Linotype" w:cs="Palatino Linotype"/>
          <w:lang w:val="en-PH"/>
        </w:rPr>
        <w:t>749 per clinic per month.</w:t>
      </w:r>
    </w:p>
    <w:tbl>
      <w:tblPr>
        <w:tblStyle w:val="TableGrid"/>
        <w:tblW w:w="822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843"/>
        <w:gridCol w:w="1134"/>
        <w:gridCol w:w="2268"/>
        <w:gridCol w:w="1842"/>
      </w:tblGrid>
      <w:tr w:rsidR="009E3060" w:rsidRPr="009E3060" w14:paraId="0DF99FA0" w14:textId="77777777" w:rsidTr="009E3060">
        <w:tc>
          <w:tcPr>
            <w:tcW w:w="1134" w:type="dxa"/>
            <w:tcBorders>
              <w:top w:val="single" w:sz="4" w:space="0" w:color="auto"/>
              <w:left w:val="single" w:sz="4" w:space="0" w:color="auto"/>
              <w:bottom w:val="single" w:sz="4" w:space="0" w:color="auto"/>
              <w:right w:val="single" w:sz="4" w:space="0" w:color="auto"/>
            </w:tcBorders>
            <w:vAlign w:val="center"/>
            <w:hideMark/>
          </w:tcPr>
          <w:p w14:paraId="7C5F49AF"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lastRenderedPageBreak/>
              <w:t>Plan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9AB1D0"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Active Patients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A4607D"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Clinics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1672DB" w14:textId="7FF8049C"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Monthly per Clinic</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840EE10"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Monthly Total</w:t>
            </w:r>
          </w:p>
        </w:tc>
      </w:tr>
      <w:tr w:rsidR="009E3060" w:rsidRPr="009E3060" w14:paraId="06BEA805" w14:textId="77777777" w:rsidTr="009E3060">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C6D7F5D"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Premium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BBDC24"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F9243F"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4F0768E"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499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800EE30"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998</w:t>
            </w:r>
          </w:p>
        </w:tc>
      </w:tr>
      <w:tr w:rsidR="009E3060" w:rsidRPr="009E3060" w14:paraId="6C426808" w14:textId="77777777" w:rsidTr="009E3060">
        <w:tc>
          <w:tcPr>
            <w:tcW w:w="1134" w:type="dxa"/>
            <w:vMerge/>
            <w:tcBorders>
              <w:top w:val="single" w:sz="4" w:space="0" w:color="auto"/>
              <w:left w:val="single" w:sz="4" w:space="0" w:color="auto"/>
              <w:bottom w:val="single" w:sz="4" w:space="0" w:color="auto"/>
              <w:right w:val="single" w:sz="4" w:space="0" w:color="auto"/>
            </w:tcBorders>
            <w:vAlign w:val="center"/>
            <w:hideMark/>
          </w:tcPr>
          <w:p w14:paraId="5B406F9A"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52065218"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8832D1"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F125C70"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749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E70E65E"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1,498</w:t>
            </w:r>
          </w:p>
        </w:tc>
      </w:tr>
      <w:tr w:rsidR="009E3060" w:rsidRPr="009E3060" w14:paraId="7D00D010" w14:textId="77777777" w:rsidTr="009E3060">
        <w:tc>
          <w:tcPr>
            <w:tcW w:w="1134" w:type="dxa"/>
            <w:vMerge/>
            <w:tcBorders>
              <w:top w:val="single" w:sz="4" w:space="0" w:color="auto"/>
              <w:left w:val="single" w:sz="4" w:space="0" w:color="auto"/>
              <w:bottom w:val="single" w:sz="4" w:space="0" w:color="auto"/>
              <w:right w:val="single" w:sz="4" w:space="0" w:color="auto"/>
            </w:tcBorders>
            <w:vAlign w:val="center"/>
            <w:hideMark/>
          </w:tcPr>
          <w:p w14:paraId="4A9DEA79"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7390FA1"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196E00"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19DE007"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999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0A820D7"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999</w:t>
            </w:r>
          </w:p>
        </w:tc>
      </w:tr>
      <w:tr w:rsidR="009E3060" w:rsidRPr="009E3060" w14:paraId="51D2C11E" w14:textId="77777777" w:rsidTr="009E3060">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233AEEAD"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Premium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6E315E0"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CB0099"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6E2DFB3"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599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8ACA215"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1,198</w:t>
            </w:r>
          </w:p>
        </w:tc>
      </w:tr>
      <w:tr w:rsidR="009E3060" w:rsidRPr="009E3060" w14:paraId="541BD2C4" w14:textId="77777777" w:rsidTr="009E3060">
        <w:tc>
          <w:tcPr>
            <w:tcW w:w="1134" w:type="dxa"/>
            <w:vMerge/>
            <w:tcBorders>
              <w:top w:val="single" w:sz="4" w:space="0" w:color="auto"/>
              <w:left w:val="single" w:sz="4" w:space="0" w:color="auto"/>
              <w:bottom w:val="single" w:sz="4" w:space="0" w:color="auto"/>
              <w:right w:val="single" w:sz="4" w:space="0" w:color="auto"/>
            </w:tcBorders>
            <w:vAlign w:val="center"/>
            <w:hideMark/>
          </w:tcPr>
          <w:p w14:paraId="1D476C4D"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581275A0"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37690B"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C5B6BF"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849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3007881"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1,698</w:t>
            </w:r>
          </w:p>
        </w:tc>
      </w:tr>
      <w:tr w:rsidR="009E3060" w:rsidRPr="009E3060" w14:paraId="75D5D273" w14:textId="77777777" w:rsidTr="009E3060">
        <w:tc>
          <w:tcPr>
            <w:tcW w:w="1134" w:type="dxa"/>
            <w:vMerge/>
            <w:tcBorders>
              <w:top w:val="single" w:sz="4" w:space="0" w:color="auto"/>
              <w:left w:val="single" w:sz="4" w:space="0" w:color="auto"/>
              <w:bottom w:val="single" w:sz="4" w:space="0" w:color="auto"/>
              <w:right w:val="single" w:sz="4" w:space="0" w:color="auto"/>
            </w:tcBorders>
            <w:vAlign w:val="center"/>
            <w:hideMark/>
          </w:tcPr>
          <w:p w14:paraId="4A71843E"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7FEB0C98"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4F2DC2"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39B6623"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1,099</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BAA0D87"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1,099</w:t>
            </w:r>
          </w:p>
        </w:tc>
      </w:tr>
      <w:tr w:rsidR="009E3060" w:rsidRPr="009E3060" w14:paraId="50038C92" w14:textId="77777777" w:rsidTr="009E3060">
        <w:tc>
          <w:tcPr>
            <w:tcW w:w="1134" w:type="dxa"/>
            <w:tcBorders>
              <w:top w:val="single" w:sz="4" w:space="0" w:color="auto"/>
              <w:left w:val="single" w:sz="4" w:space="0" w:color="auto"/>
              <w:bottom w:val="single" w:sz="4" w:space="0" w:color="auto"/>
              <w:right w:val="single" w:sz="4" w:space="0" w:color="auto"/>
            </w:tcBorders>
            <w:vAlign w:val="center"/>
            <w:hideMark/>
          </w:tcPr>
          <w:p w14:paraId="26F780E3"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TOTAL</w:t>
            </w:r>
          </w:p>
        </w:tc>
        <w:tc>
          <w:tcPr>
            <w:tcW w:w="1843" w:type="dxa"/>
            <w:tcBorders>
              <w:top w:val="single" w:sz="4" w:space="0" w:color="auto"/>
              <w:left w:val="single" w:sz="4" w:space="0" w:color="auto"/>
              <w:bottom w:val="single" w:sz="4" w:space="0" w:color="auto"/>
              <w:right w:val="single" w:sz="4" w:space="0" w:color="auto"/>
            </w:tcBorders>
            <w:vAlign w:val="center"/>
          </w:tcPr>
          <w:p w14:paraId="001848BB"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EAACD41"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10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9910D9B" w14:textId="77777777" w:rsidR="009E3060" w:rsidRPr="009E3060" w:rsidRDefault="009E3060" w:rsidP="009E3060">
            <w:pPr>
              <w:spacing w:line="360" w:lineRule="auto"/>
              <w:ind w:left="709"/>
              <w:jc w:val="center"/>
              <w:rPr>
                <w:rFonts w:ascii="Palatino Linotype" w:eastAsia="Palatino Linotype" w:hAnsi="Palatino Linotype" w:cs="Palatino Linotype"/>
                <w:b/>
                <w:bCs/>
                <w:lang w:val="en-PH"/>
              </w:rPr>
            </w:pPr>
            <w:r w:rsidRPr="009E3060">
              <w:rPr>
                <w:rFonts w:ascii="Times New Roman" w:eastAsia="Palatino Linotype" w:hAnsi="Times New Roman" w:cs="Times New Roman"/>
                <w:b/>
                <w:bCs/>
                <w:lang w:val="en-GB"/>
              </w:rPr>
              <w:t>₱</w:t>
            </w:r>
            <w:r w:rsidRPr="009E3060">
              <w:rPr>
                <w:rFonts w:ascii="Palatino Linotype" w:eastAsia="Palatino Linotype" w:hAnsi="Palatino Linotype" w:cs="Palatino Linotype"/>
                <w:b/>
                <w:bCs/>
                <w:lang w:val="en-US"/>
              </w:rPr>
              <w:t>749 (avg)</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CC3D65E" w14:textId="77777777" w:rsidR="009E3060" w:rsidRPr="009E3060" w:rsidRDefault="009E3060" w:rsidP="009E3060">
            <w:pPr>
              <w:spacing w:line="360" w:lineRule="auto"/>
              <w:ind w:left="709"/>
              <w:jc w:val="center"/>
              <w:rPr>
                <w:rFonts w:ascii="Palatino Linotype" w:eastAsia="Palatino Linotype" w:hAnsi="Palatino Linotype" w:cs="Palatino Linotype"/>
                <w:b/>
                <w:bCs/>
                <w:lang w:val="en-PH"/>
              </w:rPr>
            </w:pPr>
            <w:r w:rsidRPr="009E3060">
              <w:rPr>
                <w:rFonts w:ascii="Times New Roman" w:eastAsia="Palatino Linotype" w:hAnsi="Times New Roman" w:cs="Times New Roman"/>
                <w:b/>
                <w:bCs/>
                <w:lang w:val="en-GB"/>
              </w:rPr>
              <w:t>₱</w:t>
            </w:r>
            <w:r w:rsidRPr="009E3060">
              <w:rPr>
                <w:rFonts w:ascii="Palatino Linotype" w:eastAsia="Palatino Linotype" w:hAnsi="Palatino Linotype" w:cs="Palatino Linotype"/>
                <w:b/>
                <w:bCs/>
                <w:lang w:val="en-US"/>
              </w:rPr>
              <w:t>7,490</w:t>
            </w:r>
          </w:p>
        </w:tc>
      </w:tr>
    </w:tbl>
    <w:p w14:paraId="33348E43" w14:textId="67D40BEE" w:rsidR="009E3060" w:rsidRPr="009E3060" w:rsidRDefault="009E3060" w:rsidP="009E3060">
      <w:pPr>
        <w:spacing w:line="360" w:lineRule="auto"/>
        <w:ind w:left="709"/>
        <w:jc w:val="both"/>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 xml:space="preserve"> </w:t>
      </w:r>
      <w:r>
        <w:rPr>
          <w:rFonts w:ascii="Palatino Linotype" w:eastAsia="Palatino Linotype" w:hAnsi="Palatino Linotype" w:cs="Palatino Linotype"/>
          <w:lang w:val="en-US"/>
        </w:rPr>
        <w:t xml:space="preserve"> </w:t>
      </w:r>
      <w:r w:rsidRPr="009E3060">
        <w:rPr>
          <w:rFonts w:ascii="Palatino Linotype" w:eastAsia="Palatino Linotype" w:hAnsi="Palatino Linotype" w:cs="Palatino Linotype"/>
          <w:lang w:val="en-US"/>
        </w:rPr>
        <w:t xml:space="preserve">Sample Base: </w:t>
      </w: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7,</w:t>
      </w:r>
      <w:r w:rsidR="003A1580">
        <w:rPr>
          <w:rFonts w:ascii="Palatino Linotype" w:eastAsia="Palatino Linotype" w:hAnsi="Palatino Linotype" w:cs="Palatino Linotype"/>
          <w:lang w:val="en-US"/>
        </w:rPr>
        <w:t>49</w:t>
      </w:r>
      <w:r w:rsidRPr="009E3060">
        <w:rPr>
          <w:rFonts w:ascii="Palatino Linotype" w:eastAsia="Palatino Linotype" w:hAnsi="Palatino Linotype" w:cs="Palatino Linotype"/>
          <w:lang w:val="en-US"/>
        </w:rPr>
        <w:t xml:space="preserve">0 per month, </w:t>
      </w: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89,880 per ye</w:t>
      </w:r>
      <w:r w:rsidR="003A1580">
        <w:rPr>
          <w:rFonts w:ascii="Palatino Linotype" w:eastAsia="Palatino Linotype" w:hAnsi="Palatino Linotype" w:cs="Palatino Linotype"/>
          <w:lang w:val="en-US"/>
        </w:rPr>
        <w:t>a</w:t>
      </w:r>
      <w:r w:rsidRPr="009E3060">
        <w:rPr>
          <w:rFonts w:ascii="Palatino Linotype" w:eastAsia="Palatino Linotype" w:hAnsi="Palatino Linotype" w:cs="Palatino Linotype"/>
          <w:lang w:val="en-US"/>
        </w:rPr>
        <w:t>r, from 10 clinics</w:t>
      </w:r>
    </w:p>
    <w:p w14:paraId="02427649" w14:textId="77777777" w:rsidR="009E3060" w:rsidRPr="009E3060" w:rsidRDefault="009E3060" w:rsidP="009E3060">
      <w:pPr>
        <w:spacing w:line="360" w:lineRule="auto"/>
        <w:ind w:left="709"/>
        <w:jc w:val="both"/>
        <w:rPr>
          <w:rFonts w:ascii="Palatino Linotype" w:eastAsia="Palatino Linotype" w:hAnsi="Palatino Linotype" w:cs="Palatino Linotype"/>
          <w:lang w:val="en-PH"/>
        </w:rPr>
      </w:pPr>
    </w:p>
    <w:tbl>
      <w:tblPr>
        <w:tblStyle w:val="TableGrid"/>
        <w:tblW w:w="8273" w:type="dxa"/>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1417"/>
        <w:gridCol w:w="1560"/>
        <w:gridCol w:w="1417"/>
        <w:gridCol w:w="1276"/>
        <w:gridCol w:w="1417"/>
      </w:tblGrid>
      <w:tr w:rsidR="009E3060" w:rsidRPr="009E3060" w14:paraId="3784C79C"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4AC08F1B"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Period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83EEEAD"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Total Clinics</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1575AF6"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Avg. Monthly per Clinic</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F49495D"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Monthly Revenue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9903EE5" w14:textId="77777777"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Annual Revenue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DC98874" w14:textId="45D0932C" w:rsidR="009E3060" w:rsidRPr="009E3060" w:rsidRDefault="009E3060" w:rsidP="009E3060">
            <w:pPr>
              <w:spacing w:line="360" w:lineRule="auto"/>
              <w:jc w:val="center"/>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US"/>
              </w:rPr>
              <w:t>Cumulative Revenue</w:t>
            </w:r>
          </w:p>
        </w:tc>
      </w:tr>
      <w:tr w:rsidR="009E3060" w:rsidRPr="009E3060" w14:paraId="5CBE8120"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7BEA7878"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Year 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D1C9AC3"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10</w:t>
            </w:r>
          </w:p>
        </w:tc>
        <w:tc>
          <w:tcPr>
            <w:tcW w:w="1560" w:type="dxa"/>
            <w:vMerge w:val="restart"/>
            <w:tcBorders>
              <w:top w:val="single" w:sz="4" w:space="0" w:color="auto"/>
              <w:left w:val="single" w:sz="4" w:space="0" w:color="auto"/>
              <w:bottom w:val="single" w:sz="4" w:space="0" w:color="auto"/>
              <w:right w:val="single" w:sz="4" w:space="0" w:color="auto"/>
            </w:tcBorders>
            <w:vAlign w:val="center"/>
            <w:hideMark/>
          </w:tcPr>
          <w:p w14:paraId="7D6A1EC0"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749</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B2AABF3"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7,490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F138163"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89,880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A579367"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89,880</w:t>
            </w:r>
          </w:p>
        </w:tc>
      </w:tr>
      <w:tr w:rsidR="009E3060" w:rsidRPr="009E3060" w14:paraId="13752031"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136C96FF"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Year 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7E97D78"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20</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37F2D59"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20FB977C"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14,980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EEF35F4"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179,760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9F5BD89"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269,640</w:t>
            </w:r>
          </w:p>
        </w:tc>
      </w:tr>
      <w:tr w:rsidR="009E3060" w:rsidRPr="009E3060" w14:paraId="3AB923F3"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0F60AF1A"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Year 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B2A2DDF"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30</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6C2E8B0B"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50990654"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22,470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9949C8F"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269,640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46DDD5"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539,280</w:t>
            </w:r>
          </w:p>
        </w:tc>
      </w:tr>
      <w:tr w:rsidR="009E3060" w:rsidRPr="009E3060" w14:paraId="5D5843DA"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6BA4E695"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Year 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02EE302"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40</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11C78764"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2EA1BBA1"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29,960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A7E117"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359,520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C72DB69"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898,800</w:t>
            </w:r>
          </w:p>
        </w:tc>
      </w:tr>
      <w:tr w:rsidR="009E3060" w:rsidRPr="009E3060" w14:paraId="57E4068D" w14:textId="77777777" w:rsidTr="00876924">
        <w:tc>
          <w:tcPr>
            <w:tcW w:w="1186" w:type="dxa"/>
            <w:tcBorders>
              <w:top w:val="single" w:sz="4" w:space="0" w:color="auto"/>
              <w:left w:val="single" w:sz="4" w:space="0" w:color="auto"/>
              <w:bottom w:val="single" w:sz="4" w:space="0" w:color="auto"/>
              <w:right w:val="single" w:sz="4" w:space="0" w:color="auto"/>
            </w:tcBorders>
            <w:vAlign w:val="center"/>
            <w:hideMark/>
          </w:tcPr>
          <w:p w14:paraId="1E2FF404"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Year 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0B0ED8F" w14:textId="77777777"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Palatino Linotype" w:eastAsia="Palatino Linotype" w:hAnsi="Palatino Linotype" w:cs="Palatino Linotype"/>
                <w:lang w:val="en-US"/>
              </w:rPr>
              <w:t>50</w:t>
            </w: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E9651F5" w14:textId="77777777" w:rsidR="009E3060" w:rsidRPr="009E3060" w:rsidRDefault="009E3060" w:rsidP="009E3060">
            <w:pPr>
              <w:spacing w:line="360" w:lineRule="auto"/>
              <w:ind w:left="709"/>
              <w:jc w:val="center"/>
              <w:rPr>
                <w:rFonts w:ascii="Palatino Linotype" w:eastAsia="Palatino Linotype" w:hAnsi="Palatino Linotype" w:cs="Palatino Linotype"/>
                <w:lang w:val="en-PH"/>
              </w:rPr>
            </w:pPr>
          </w:p>
        </w:tc>
        <w:tc>
          <w:tcPr>
            <w:tcW w:w="1417" w:type="dxa"/>
            <w:tcBorders>
              <w:top w:val="single" w:sz="4" w:space="0" w:color="auto"/>
              <w:left w:val="single" w:sz="4" w:space="0" w:color="auto"/>
              <w:bottom w:val="single" w:sz="4" w:space="0" w:color="auto"/>
              <w:right w:val="single" w:sz="4" w:space="0" w:color="auto"/>
            </w:tcBorders>
            <w:vAlign w:val="center"/>
            <w:hideMark/>
          </w:tcPr>
          <w:p w14:paraId="37D2D0A9" w14:textId="1A17680F"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3</w:t>
            </w:r>
            <w:r w:rsidR="003A1580">
              <w:rPr>
                <w:rFonts w:ascii="Palatino Linotype" w:eastAsia="Palatino Linotype" w:hAnsi="Palatino Linotype" w:cs="Palatino Linotype"/>
                <w:lang w:val="en-US"/>
              </w:rPr>
              <w:t>7</w:t>
            </w:r>
            <w:r w:rsidRPr="009E3060">
              <w:rPr>
                <w:rFonts w:ascii="Palatino Linotype" w:eastAsia="Palatino Linotype" w:hAnsi="Palatino Linotype" w:cs="Palatino Linotype"/>
                <w:lang w:val="en-US"/>
              </w:rPr>
              <w:t>,</w:t>
            </w:r>
            <w:r w:rsidR="003A1580">
              <w:rPr>
                <w:rFonts w:ascii="Palatino Linotype" w:eastAsia="Palatino Linotype" w:hAnsi="Palatino Linotype" w:cs="Palatino Linotype"/>
                <w:lang w:val="en-US"/>
              </w:rPr>
              <w:t>450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D9BC720" w14:textId="232C1BE1"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44</w:t>
            </w:r>
            <w:r w:rsidR="003A1580">
              <w:rPr>
                <w:rFonts w:ascii="Palatino Linotype" w:eastAsia="Palatino Linotype" w:hAnsi="Palatino Linotype" w:cs="Palatino Linotype"/>
                <w:lang w:val="en-US"/>
              </w:rPr>
              <w:t>9,400</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C32E766" w14:textId="37D7AB51" w:rsidR="009E3060" w:rsidRPr="009E3060" w:rsidRDefault="009E3060" w:rsidP="009E3060">
            <w:pPr>
              <w:spacing w:line="360" w:lineRule="auto"/>
              <w:jc w:val="center"/>
              <w:rPr>
                <w:rFonts w:ascii="Palatino Linotype" w:eastAsia="Palatino Linotype" w:hAnsi="Palatino Linotype" w:cs="Palatino Linotype"/>
                <w:lang w:val="en-PH"/>
              </w:rPr>
            </w:pPr>
            <w:r w:rsidRPr="009E3060">
              <w:rPr>
                <w:rFonts w:ascii="Times New Roman" w:eastAsia="Palatino Linotype" w:hAnsi="Times New Roman" w:cs="Times New Roman"/>
                <w:lang w:val="en-GB"/>
              </w:rPr>
              <w:t>₱</w:t>
            </w:r>
            <w:r w:rsidRPr="009E3060">
              <w:rPr>
                <w:rFonts w:ascii="Palatino Linotype" w:eastAsia="Palatino Linotype" w:hAnsi="Palatino Linotype" w:cs="Palatino Linotype"/>
                <w:lang w:val="en-US"/>
              </w:rPr>
              <w:t>1,3</w:t>
            </w:r>
            <w:r w:rsidR="003A1580">
              <w:rPr>
                <w:rFonts w:ascii="Palatino Linotype" w:eastAsia="Palatino Linotype" w:hAnsi="Palatino Linotype" w:cs="Palatino Linotype"/>
                <w:lang w:val="en-US"/>
              </w:rPr>
              <w:t>48,200</w:t>
            </w:r>
          </w:p>
        </w:tc>
      </w:tr>
      <w:tr w:rsidR="009E3060" w:rsidRPr="009E3060" w14:paraId="560BFD63" w14:textId="77777777" w:rsidTr="00876924">
        <w:tc>
          <w:tcPr>
            <w:tcW w:w="8273" w:type="dxa"/>
            <w:gridSpan w:val="6"/>
            <w:tcBorders>
              <w:top w:val="single" w:sz="4" w:space="0" w:color="auto"/>
              <w:left w:val="single" w:sz="4" w:space="0" w:color="auto"/>
              <w:bottom w:val="single" w:sz="4" w:space="0" w:color="auto"/>
              <w:right w:val="single" w:sz="4" w:space="0" w:color="auto"/>
            </w:tcBorders>
            <w:hideMark/>
          </w:tcPr>
          <w:p w14:paraId="61DC2889" w14:textId="4BAE878A" w:rsidR="009E3060" w:rsidRPr="009E3060" w:rsidRDefault="009E3060" w:rsidP="009E3060">
            <w:pPr>
              <w:spacing w:line="360" w:lineRule="auto"/>
              <w:jc w:val="both"/>
              <w:rPr>
                <w:rFonts w:ascii="Palatino Linotype" w:eastAsia="Palatino Linotype" w:hAnsi="Palatino Linotype" w:cs="Palatino Linotype"/>
                <w:i/>
                <w:iCs/>
                <w:lang w:val="en-PH"/>
              </w:rPr>
            </w:pPr>
            <w:r w:rsidRPr="009E3060">
              <w:rPr>
                <w:rFonts w:ascii="Palatino Linotype" w:eastAsia="Palatino Linotype" w:hAnsi="Palatino Linotype" w:cs="Palatino Linotype"/>
                <w:i/>
                <w:iCs/>
                <w:lang w:val="en-US"/>
              </w:rPr>
              <w:t>The projected revenue is intended to support the gradual recovery of the ≈</w:t>
            </w:r>
            <w:r w:rsidRPr="009E3060">
              <w:rPr>
                <w:rFonts w:ascii="Times New Roman" w:eastAsia="Palatino Linotype" w:hAnsi="Times New Roman" w:cs="Times New Roman"/>
                <w:i/>
                <w:iCs/>
                <w:lang w:val="en-US"/>
              </w:rPr>
              <w:t>₱</w:t>
            </w:r>
            <w:r w:rsidRPr="009E3060">
              <w:rPr>
                <w:rFonts w:ascii="Palatino Linotype" w:eastAsia="Palatino Linotype" w:hAnsi="Palatino Linotype" w:cs="Palatino Linotype"/>
                <w:i/>
                <w:iCs/>
                <w:lang w:val="en-US"/>
              </w:rPr>
              <w:t>1</w:t>
            </w:r>
            <w:r w:rsidR="000B63FC">
              <w:rPr>
                <w:rFonts w:ascii="Palatino Linotype" w:eastAsia="Palatino Linotype" w:hAnsi="Palatino Linotype" w:cs="Palatino Linotype"/>
                <w:i/>
                <w:iCs/>
                <w:lang w:val="en-US"/>
              </w:rPr>
              <w:t>65</w:t>
            </w:r>
            <w:r w:rsidRPr="009E3060">
              <w:rPr>
                <w:rFonts w:ascii="Palatino Linotype" w:eastAsia="Palatino Linotype" w:hAnsi="Palatino Linotype" w:cs="Palatino Linotype"/>
                <w:i/>
                <w:iCs/>
                <w:lang w:val="en-US"/>
              </w:rPr>
              <w:t>,000 seed/pilot investment. Cumulative subscription revenue is projected to recover the initial pilot investment during Year 2 (approximately 1</w:t>
            </w:r>
            <w:r w:rsidR="000B63FC">
              <w:rPr>
                <w:rFonts w:ascii="Palatino Linotype" w:eastAsia="Palatino Linotype" w:hAnsi="Palatino Linotype" w:cs="Palatino Linotype"/>
                <w:i/>
                <w:iCs/>
                <w:lang w:val="en-US"/>
              </w:rPr>
              <w:t>8</w:t>
            </w:r>
            <w:r w:rsidRPr="009E3060">
              <w:rPr>
                <w:rFonts w:ascii="Palatino Linotype" w:eastAsia="Palatino Linotype" w:hAnsi="Palatino Linotype" w:cs="Palatino Linotype"/>
                <w:i/>
                <w:iCs/>
                <w:lang w:val="en-US"/>
              </w:rPr>
              <w:t xml:space="preserve"> months</w:t>
            </w:r>
            <w:r w:rsidR="000B63FC">
              <w:rPr>
                <w:rFonts w:ascii="Palatino Linotype" w:eastAsia="Palatino Linotype" w:hAnsi="Palatino Linotype" w:cs="Palatino Linotype"/>
                <w:i/>
                <w:iCs/>
                <w:lang w:val="en-US"/>
              </w:rPr>
              <w:t xml:space="preserve"> from launch</w:t>
            </w:r>
            <w:r w:rsidRPr="009E3060">
              <w:rPr>
                <w:rFonts w:ascii="Palatino Linotype" w:eastAsia="Palatino Linotype" w:hAnsi="Palatino Linotype" w:cs="Palatino Linotype"/>
                <w:i/>
                <w:iCs/>
                <w:lang w:val="en-US"/>
              </w:rPr>
              <w:t>), assuming steady growth in RHU and clinic subscriptions.</w:t>
            </w:r>
          </w:p>
        </w:tc>
      </w:tr>
    </w:tbl>
    <w:p w14:paraId="2504B534" w14:textId="77777777" w:rsidR="009E3060" w:rsidRPr="009E3060" w:rsidRDefault="009E3060" w:rsidP="009E3060">
      <w:pPr>
        <w:spacing w:line="360" w:lineRule="auto"/>
        <w:ind w:left="709"/>
        <w:jc w:val="both"/>
        <w:rPr>
          <w:rFonts w:ascii="Palatino Linotype" w:eastAsia="Palatino Linotype" w:hAnsi="Palatino Linotype" w:cs="Palatino Linotype"/>
          <w:lang w:val="en-PH"/>
        </w:rPr>
      </w:pPr>
    </w:p>
    <w:p w14:paraId="40A8577E" w14:textId="07F47D45" w:rsidR="009E3060" w:rsidRPr="009E3060" w:rsidRDefault="009E3060" w:rsidP="009E3060">
      <w:pPr>
        <w:spacing w:line="360" w:lineRule="auto"/>
        <w:ind w:left="426" w:firstLine="294"/>
        <w:jc w:val="both"/>
        <w:rPr>
          <w:rFonts w:ascii="Palatino Linotype" w:eastAsia="Palatino Linotype" w:hAnsi="Palatino Linotype" w:cs="Palatino Linotype"/>
          <w:lang w:val="en-PH"/>
        </w:rPr>
      </w:pPr>
      <w:r w:rsidRPr="009E3060">
        <w:rPr>
          <w:rFonts w:ascii="Palatino Linotype" w:eastAsia="Palatino Linotype" w:hAnsi="Palatino Linotype" w:cs="Palatino Linotype"/>
          <w:lang w:val="en-PH"/>
        </w:rPr>
        <w:t xml:space="preserve">The projection begins with a small local pilot and gradually expands as </w:t>
      </w:r>
      <w:r>
        <w:rPr>
          <w:rFonts w:ascii="Palatino Linotype" w:eastAsia="Palatino Linotype" w:hAnsi="Palatino Linotype" w:cs="Palatino Linotype"/>
          <w:b/>
          <w:bCs/>
          <w:lang w:val="en-PH"/>
        </w:rPr>
        <w:t>VITAL</w:t>
      </w:r>
      <w:r w:rsidRPr="009E3060">
        <w:rPr>
          <w:rFonts w:ascii="Palatino Linotype" w:eastAsia="Palatino Linotype" w:hAnsi="Palatino Linotype" w:cs="Palatino Linotype"/>
          <w:lang w:val="en-PH"/>
        </w:rPr>
        <w:t xml:space="preserve"> gains subscribers from Rural Health Units (RHUs) and private clinics. As more healthcare facilities adopt the platform, referral volume and network value increase, supporting subscription upgrades from Premium to Premium+ and from lower to higher patient-capacity plans.</w:t>
      </w:r>
    </w:p>
    <w:p w14:paraId="1531612E" w14:textId="77777777" w:rsidR="009E3060" w:rsidRDefault="009E3060" w:rsidP="009E3060">
      <w:pPr>
        <w:spacing w:line="360" w:lineRule="auto"/>
        <w:ind w:left="709"/>
        <w:jc w:val="both"/>
        <w:rPr>
          <w:rFonts w:ascii="Palatino Linotype" w:eastAsia="Palatino Linotype" w:hAnsi="Palatino Linotype" w:cs="Palatino Linotype"/>
          <w:lang w:val="en-PH"/>
        </w:rPr>
      </w:pPr>
    </w:p>
    <w:p w14:paraId="1E2D12B2" w14:textId="77777777" w:rsidR="003E4BC0" w:rsidRDefault="003E4BC0" w:rsidP="009E3060">
      <w:pPr>
        <w:spacing w:line="360" w:lineRule="auto"/>
        <w:ind w:left="709"/>
        <w:jc w:val="both"/>
        <w:rPr>
          <w:rFonts w:ascii="Palatino Linotype" w:eastAsia="Palatino Linotype" w:hAnsi="Palatino Linotype" w:cs="Palatino Linotype"/>
          <w:lang w:val="en-PH"/>
        </w:rPr>
      </w:pPr>
    </w:p>
    <w:p w14:paraId="35BD7F38" w14:textId="77777777" w:rsidR="003E4BC0" w:rsidRPr="009E3060" w:rsidRDefault="003E4BC0" w:rsidP="009E3060">
      <w:pPr>
        <w:spacing w:line="360" w:lineRule="auto"/>
        <w:ind w:left="709"/>
        <w:jc w:val="both"/>
        <w:rPr>
          <w:rFonts w:ascii="Palatino Linotype" w:eastAsia="Palatino Linotype" w:hAnsi="Palatino Linotype" w:cs="Palatino Linotype"/>
          <w:lang w:val="en-PH"/>
        </w:rPr>
      </w:pPr>
    </w:p>
    <w:p w14:paraId="2269E479" w14:textId="77777777" w:rsidR="009E3060" w:rsidRPr="009E3060" w:rsidRDefault="009E3060" w:rsidP="009E3060">
      <w:pPr>
        <w:spacing w:line="360" w:lineRule="auto"/>
        <w:ind w:left="426"/>
        <w:jc w:val="both"/>
        <w:rPr>
          <w:rFonts w:ascii="Palatino Linotype" w:eastAsia="Palatino Linotype" w:hAnsi="Palatino Linotype" w:cs="Palatino Linotype"/>
          <w:b/>
          <w:bCs/>
          <w:lang w:val="en-PH"/>
        </w:rPr>
      </w:pPr>
      <w:r w:rsidRPr="009E3060">
        <w:rPr>
          <w:rFonts w:ascii="Palatino Linotype" w:eastAsia="Palatino Linotype" w:hAnsi="Palatino Linotype" w:cs="Palatino Linotype"/>
          <w:b/>
          <w:bCs/>
          <w:lang w:val="en-PH"/>
        </w:rPr>
        <w:lastRenderedPageBreak/>
        <w:t>Revenue Recovery</w:t>
      </w:r>
    </w:p>
    <w:p w14:paraId="24AC7951" w14:textId="77777777" w:rsidR="000B63FC" w:rsidRDefault="009E3060" w:rsidP="000B63FC">
      <w:pPr>
        <w:spacing w:line="360" w:lineRule="auto"/>
        <w:ind w:left="426" w:firstLine="720"/>
        <w:jc w:val="both"/>
        <w:rPr>
          <w:rFonts w:ascii="Palatino Linotype" w:eastAsia="Palatino Linotype" w:hAnsi="Palatino Linotype" w:cs="Palatino Linotype"/>
        </w:rPr>
      </w:pPr>
      <w:r w:rsidRPr="009E3060">
        <w:rPr>
          <w:rFonts w:ascii="Palatino Linotype" w:eastAsia="Palatino Linotype" w:hAnsi="Palatino Linotype" w:cs="Palatino Linotype"/>
          <w:lang w:val="en-PH"/>
        </w:rPr>
        <w:t xml:space="preserve">The projected subscription revenue is intended to support the gradual recovery of the approximately </w:t>
      </w:r>
      <w:r w:rsidRPr="009E3060">
        <w:rPr>
          <w:rFonts w:ascii="Times New Roman" w:eastAsia="Palatino Linotype" w:hAnsi="Times New Roman" w:cs="Times New Roman"/>
          <w:lang w:val="en-PH"/>
        </w:rPr>
        <w:t>₱</w:t>
      </w:r>
      <w:r w:rsidRPr="009E3060">
        <w:rPr>
          <w:rFonts w:ascii="Palatino Linotype" w:eastAsia="Palatino Linotype" w:hAnsi="Palatino Linotype" w:cs="Palatino Linotype"/>
          <w:lang w:val="en-PH"/>
        </w:rPr>
        <w:t>1</w:t>
      </w:r>
      <w:r w:rsidR="000B63FC">
        <w:rPr>
          <w:rFonts w:ascii="Palatino Linotype" w:eastAsia="Palatino Linotype" w:hAnsi="Palatino Linotype" w:cs="Palatino Linotype"/>
          <w:lang w:val="en-PH"/>
        </w:rPr>
        <w:t>65</w:t>
      </w:r>
      <w:r w:rsidRPr="009E3060">
        <w:rPr>
          <w:rFonts w:ascii="Palatino Linotype" w:eastAsia="Palatino Linotype" w:hAnsi="Palatino Linotype" w:cs="Palatino Linotype"/>
          <w:lang w:val="en-PH"/>
        </w:rPr>
        <w:t xml:space="preserve">,000 seed/pilot investment. Based on the projected revenue, cumulative subscription income reaches </w:t>
      </w:r>
      <w:r w:rsidRPr="009E3060">
        <w:rPr>
          <w:rFonts w:ascii="Times New Roman" w:eastAsia="Palatino Linotype" w:hAnsi="Times New Roman" w:cs="Times New Roman"/>
          <w:lang w:val="en-PH"/>
        </w:rPr>
        <w:t>₱</w:t>
      </w:r>
      <w:r w:rsidRPr="009E3060">
        <w:rPr>
          <w:rFonts w:ascii="Palatino Linotype" w:eastAsia="Palatino Linotype" w:hAnsi="Palatino Linotype" w:cs="Palatino Linotype"/>
          <w:lang w:val="en-PH"/>
        </w:rPr>
        <w:t xml:space="preserve">89,880 by the end of Year 1. With an estimated monthly revenue of </w:t>
      </w:r>
      <w:r w:rsidRPr="009E3060">
        <w:rPr>
          <w:rFonts w:ascii="Times New Roman" w:eastAsia="Palatino Linotype" w:hAnsi="Times New Roman" w:cs="Times New Roman"/>
          <w:lang w:val="en-PH"/>
        </w:rPr>
        <w:t>₱</w:t>
      </w:r>
      <w:r w:rsidRPr="009E3060">
        <w:rPr>
          <w:rFonts w:ascii="Palatino Linotype" w:eastAsia="Palatino Linotype" w:hAnsi="Palatino Linotype" w:cs="Palatino Linotype"/>
          <w:lang w:val="en-PH"/>
        </w:rPr>
        <w:t xml:space="preserve">14,980 in Year 2, </w:t>
      </w:r>
      <w:r w:rsidR="000B63FC" w:rsidRPr="000B63FC">
        <w:rPr>
          <w:rFonts w:ascii="Palatino Linotype" w:eastAsia="Palatino Linotype" w:hAnsi="Palatino Linotype" w:cs="Palatino Linotype"/>
        </w:rPr>
        <w:t xml:space="preserve">the remaining </w:t>
      </w:r>
      <w:r w:rsidR="000B63FC" w:rsidRPr="000B63FC">
        <w:rPr>
          <w:rFonts w:ascii="Times New Roman" w:eastAsia="Palatino Linotype" w:hAnsi="Times New Roman" w:cs="Times New Roman"/>
        </w:rPr>
        <w:t>₱</w:t>
      </w:r>
      <w:r w:rsidR="000B63FC" w:rsidRPr="000B63FC">
        <w:rPr>
          <w:rFonts w:ascii="Palatino Linotype" w:eastAsia="Palatino Linotype" w:hAnsi="Palatino Linotype" w:cs="Palatino Linotype"/>
        </w:rPr>
        <w:t>75,120 is projected to be recovered in the 6th month of Year 2, or around the 18th month from launch.</w:t>
      </w:r>
    </w:p>
    <w:p w14:paraId="5C3DC141" w14:textId="12B26EBD" w:rsidR="009E3060" w:rsidRPr="009E3060" w:rsidRDefault="009E3060" w:rsidP="000B63FC">
      <w:pPr>
        <w:spacing w:line="360" w:lineRule="auto"/>
        <w:ind w:left="426" w:firstLine="708"/>
        <w:jc w:val="both"/>
        <w:rPr>
          <w:rFonts w:ascii="Palatino Linotype" w:eastAsia="Palatino Linotype" w:hAnsi="Palatino Linotype" w:cs="Palatino Linotype"/>
          <w:lang w:val="en-PH"/>
        </w:rPr>
      </w:pPr>
      <w:r w:rsidRPr="009E3060">
        <w:rPr>
          <w:rFonts w:ascii="Palatino Linotype" w:eastAsia="Palatino Linotype" w:hAnsi="Palatino Linotype" w:cs="Palatino Linotype"/>
          <w:lang w:val="en-PH"/>
        </w:rPr>
        <w:t>This estimate compares projected subscription revenue with the initial pilot investment only and does not include recurring operational expenses such as hosting, maintenance, customer support, and regulatory compliance. Therefore, the actual recovery period may vary depending on clinic growth, subscription plan mix, customer retention, and other operating costs. These figures are planning estimates and should not be interpreted as guaranteed returns.</w:t>
      </w:r>
    </w:p>
    <w:p w14:paraId="4EF33E31" w14:textId="77777777" w:rsidR="001E1521" w:rsidRPr="00E26EF0" w:rsidRDefault="001E1521" w:rsidP="006364B4">
      <w:pPr>
        <w:spacing w:line="360" w:lineRule="auto"/>
        <w:ind w:left="709"/>
        <w:jc w:val="both"/>
        <w:rPr>
          <w:rFonts w:ascii="Palatino Linotype" w:eastAsia="Palatino Linotype" w:hAnsi="Palatino Linotype" w:cs="Palatino Linotype"/>
        </w:rPr>
      </w:pPr>
    </w:p>
    <w:p w14:paraId="6DFF49F3" w14:textId="01173DB3"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MARKET ANALYSIS</w:t>
      </w:r>
    </w:p>
    <w:p w14:paraId="5D8991B2" w14:textId="166C77C9" w:rsidR="00934EA8" w:rsidRDefault="00934EA8" w:rsidP="006364B4">
      <w:pPr>
        <w:spacing w:line="360" w:lineRule="auto"/>
        <w:ind w:left="720"/>
        <w:jc w:val="both"/>
        <w:rPr>
          <w:rFonts w:ascii="Palatino Linotype" w:eastAsia="Palatino Linotype" w:hAnsi="Palatino Linotype" w:cs="Palatino Linotype"/>
        </w:rPr>
      </w:pPr>
      <w:r w:rsidRPr="00934EA8">
        <w:rPr>
          <w:rFonts w:ascii="Palatino Linotype" w:eastAsia="Palatino Linotype" w:hAnsi="Palatino Linotype" w:cs="Palatino Linotype"/>
        </w:rPr>
        <w:t xml:space="preserve">Bohol alone has 53 Rural Health Units, 664 Barangay Health Stations, and 17 government hospitals (Provincial Planning and Development Office of Bohol, n.d.), giving </w:t>
      </w:r>
      <w:r w:rsidR="00E26EF0">
        <w:rPr>
          <w:rFonts w:ascii="Palatino Linotype" w:eastAsia="Palatino Linotype" w:hAnsi="Palatino Linotype" w:cs="Palatino Linotype"/>
          <w:b/>
          <w:bCs/>
        </w:rPr>
        <w:t>VITAL</w:t>
      </w:r>
      <w:r w:rsidRPr="00934EA8">
        <w:rPr>
          <w:rFonts w:ascii="Palatino Linotype" w:eastAsia="Palatino Linotype" w:hAnsi="Palatino Linotype" w:cs="Palatino Linotype"/>
        </w:rPr>
        <w:t xml:space="preserve"> a sizable initial provider base before any nationwide expansion. Nationally, the Philippines has only about 2,600 RHUs/health centers against a need for 2,400 more, leaving half of Filipinos without RHU access within 30 minutes (Department of Health, 2020) — a gap that sustains steady demand for tools that make each existing facility's referrals faster and more reliable. This demand is reinforced by a national policy trend toward interoperability: RA 11223 requires LGUs to build connected provider networks (Republic Act No. 11223, 2019), yet current facility-level digital record systems remain siloed and not yet connected into a functioning cross-provider exchange (Zuniga et al., 2026) — the specific competitive gap </w:t>
      </w:r>
      <w:r w:rsidR="00E26EF0">
        <w:rPr>
          <w:rFonts w:ascii="Palatino Linotype" w:eastAsia="Palatino Linotype" w:hAnsi="Palatino Linotype" w:cs="Palatino Linotype"/>
          <w:b/>
          <w:bCs/>
        </w:rPr>
        <w:t>VITAL</w:t>
      </w:r>
      <w:r w:rsidRPr="00934EA8">
        <w:rPr>
          <w:rFonts w:ascii="Palatino Linotype" w:eastAsia="Palatino Linotype" w:hAnsi="Palatino Linotype" w:cs="Palatino Linotype"/>
          <w:b/>
          <w:bCs/>
        </w:rPr>
        <w:t xml:space="preserve"> </w:t>
      </w:r>
      <w:r w:rsidRPr="00934EA8">
        <w:rPr>
          <w:rFonts w:ascii="Palatino Linotype" w:eastAsia="Palatino Linotype" w:hAnsi="Palatino Linotype" w:cs="Palatino Linotype"/>
        </w:rPr>
        <w:t>is positioned to fill.</w:t>
      </w:r>
    </w:p>
    <w:p w14:paraId="1F016BAB" w14:textId="77777777" w:rsidR="00D472FC" w:rsidRPr="00934EA8" w:rsidRDefault="00D472FC" w:rsidP="006364B4">
      <w:pPr>
        <w:spacing w:line="360" w:lineRule="auto"/>
        <w:ind w:left="720"/>
        <w:jc w:val="both"/>
        <w:rPr>
          <w:rFonts w:ascii="Palatino Linotype" w:eastAsia="Palatino Linotype" w:hAnsi="Palatino Linotype" w:cs="Palatino Linotype"/>
          <w:b/>
          <w:bCs/>
        </w:rPr>
      </w:pPr>
    </w:p>
    <w:p w14:paraId="5DF7D9FE" w14:textId="61358704"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OPERATIONS PLAN</w:t>
      </w:r>
    </w:p>
    <w:p w14:paraId="6BD429C0" w14:textId="77777777" w:rsidR="0027541A" w:rsidRPr="0027541A" w:rsidRDefault="0027541A" w:rsidP="006364B4">
      <w:pPr>
        <w:spacing w:line="360" w:lineRule="auto"/>
        <w:ind w:left="1418" w:hanging="709"/>
        <w:jc w:val="both"/>
        <w:rPr>
          <w:rFonts w:ascii="Palatino Linotype" w:eastAsia="Palatino Linotype" w:hAnsi="Palatino Linotype" w:cs="Palatino Linotype"/>
        </w:rPr>
      </w:pPr>
      <w:r w:rsidRPr="0027541A">
        <w:rPr>
          <w:rFonts w:ascii="Palatino Linotype" w:eastAsia="Palatino Linotype" w:hAnsi="Palatino Linotype" w:cs="Palatino Linotype"/>
        </w:rPr>
        <w:t>•</w:t>
      </w:r>
      <w:r w:rsidRPr="0027541A">
        <w:rPr>
          <w:rFonts w:ascii="Palatino Linotype" w:eastAsia="Palatino Linotype" w:hAnsi="Palatino Linotype" w:cs="Palatino Linotype"/>
        </w:rPr>
        <w:tab/>
        <w:t>MVP: patient app, RHU/clinic portal, and laboratory portal covering referral creation, tracking, and result delivery.</w:t>
      </w:r>
    </w:p>
    <w:p w14:paraId="17DCA57C" w14:textId="77777777" w:rsidR="00934EA8" w:rsidRPr="00934EA8" w:rsidRDefault="0027541A" w:rsidP="006364B4">
      <w:pPr>
        <w:spacing w:line="360" w:lineRule="auto"/>
        <w:ind w:left="1418" w:hanging="709"/>
        <w:jc w:val="both"/>
        <w:rPr>
          <w:rFonts w:ascii="Palatino Linotype" w:eastAsia="Palatino Linotype" w:hAnsi="Palatino Linotype" w:cs="Palatino Linotype"/>
          <w:lang w:val="en-PH"/>
        </w:rPr>
      </w:pPr>
      <w:r w:rsidRPr="0027541A">
        <w:rPr>
          <w:rFonts w:ascii="Palatino Linotype" w:eastAsia="Palatino Linotype" w:hAnsi="Palatino Linotype" w:cs="Palatino Linotype"/>
        </w:rPr>
        <w:lastRenderedPageBreak/>
        <w:t>•</w:t>
      </w:r>
      <w:r w:rsidRPr="0027541A">
        <w:rPr>
          <w:rFonts w:ascii="Palatino Linotype" w:eastAsia="Palatino Linotype" w:hAnsi="Palatino Linotype" w:cs="Palatino Linotype"/>
        </w:rPr>
        <w:tab/>
      </w:r>
      <w:r w:rsidR="00934EA8" w:rsidRPr="00934EA8">
        <w:rPr>
          <w:rFonts w:ascii="Palatino Linotype" w:eastAsia="Palatino Linotype" w:hAnsi="Palatino Linotype" w:cs="Palatino Linotype"/>
          <w:lang w:val="en-PH"/>
        </w:rPr>
        <w:t>Pilot: launched first in Bohol — 1–2 RHUs/clinics and 1 laboratory partner, 4–6 weeks, 50–100 patients — tracking referral time, adoption, and provider feedback. Bohol is chosen as the initial site because the team is based there, which supports direct, hands-on coordination with pilot partners.</w:t>
      </w:r>
    </w:p>
    <w:p w14:paraId="51DE0175" w14:textId="7F3088D0" w:rsidR="00934EA8" w:rsidRPr="00934EA8" w:rsidRDefault="00934EA8" w:rsidP="006364B4">
      <w:pPr>
        <w:numPr>
          <w:ilvl w:val="0"/>
          <w:numId w:val="4"/>
        </w:numPr>
        <w:spacing w:line="360" w:lineRule="auto"/>
        <w:ind w:left="1418" w:hanging="745"/>
        <w:jc w:val="both"/>
        <w:rPr>
          <w:rFonts w:ascii="Palatino Linotype" w:eastAsia="Palatino Linotype" w:hAnsi="Palatino Linotype" w:cs="Palatino Linotype"/>
          <w:lang w:val="en-PH"/>
        </w:rPr>
      </w:pPr>
      <w:r w:rsidRPr="00934EA8">
        <w:rPr>
          <w:rFonts w:ascii="Palatino Linotype" w:eastAsia="Palatino Linotype" w:hAnsi="Palatino Linotype" w:cs="Palatino Linotype"/>
          <w:lang w:val="en-PH"/>
        </w:rPr>
        <w:t xml:space="preserve">Go-to-market: validate the core referral loop in Bohol </w:t>
      </w:r>
      <w:r w:rsidRPr="00934EA8">
        <w:rPr>
          <w:rFonts w:ascii="Times New Roman" w:eastAsia="Palatino Linotype" w:hAnsi="Times New Roman" w:cs="Times New Roman"/>
          <w:lang w:val="en-PH"/>
        </w:rPr>
        <w:t>→</w:t>
      </w:r>
      <w:r w:rsidRPr="00934EA8">
        <w:rPr>
          <w:rFonts w:ascii="Palatino Linotype" w:eastAsia="Palatino Linotype" w:hAnsi="Palatino Linotype" w:cs="Palatino Linotype"/>
          <w:lang w:val="en-PH"/>
        </w:rPr>
        <w:t xml:space="preserve"> gather pilot evidence </w:t>
      </w:r>
      <w:r w:rsidRPr="00934EA8">
        <w:rPr>
          <w:rFonts w:ascii="Times New Roman" w:eastAsia="Palatino Linotype" w:hAnsi="Times New Roman" w:cs="Times New Roman"/>
          <w:lang w:val="en-PH"/>
        </w:rPr>
        <w:t>→</w:t>
      </w:r>
      <w:r w:rsidRPr="00934EA8">
        <w:rPr>
          <w:rFonts w:ascii="Palatino Linotype" w:eastAsia="Palatino Linotype" w:hAnsi="Palatino Linotype" w:cs="Palatino Linotype"/>
          <w:lang w:val="en-PH"/>
        </w:rPr>
        <w:t xml:space="preserve"> convert pilot providers to paid plans </w:t>
      </w:r>
      <w:r w:rsidRPr="00934EA8">
        <w:rPr>
          <w:rFonts w:ascii="Times New Roman" w:eastAsia="Palatino Linotype" w:hAnsi="Times New Roman" w:cs="Times New Roman"/>
          <w:lang w:val="en-PH"/>
        </w:rPr>
        <w:t>→</w:t>
      </w:r>
      <w:r w:rsidRPr="00934EA8">
        <w:rPr>
          <w:rFonts w:ascii="Palatino Linotype" w:eastAsia="Palatino Linotype" w:hAnsi="Palatino Linotype" w:cs="Palatino Linotype"/>
          <w:lang w:val="en-PH"/>
        </w:rPr>
        <w:t xml:space="preserve"> expand to additional Bohol municipalities before considering other provinces.</w:t>
      </w:r>
    </w:p>
    <w:p w14:paraId="3614A1F5" w14:textId="50EAC98B" w:rsidR="00A862F4" w:rsidRDefault="0027541A" w:rsidP="006364B4">
      <w:pPr>
        <w:spacing w:line="360" w:lineRule="auto"/>
        <w:ind w:left="1418" w:hanging="709"/>
        <w:jc w:val="both"/>
        <w:rPr>
          <w:rFonts w:ascii="Palatino Linotype" w:eastAsia="Palatino Linotype" w:hAnsi="Palatino Linotype" w:cs="Palatino Linotype"/>
        </w:rPr>
      </w:pPr>
      <w:r w:rsidRPr="0027541A">
        <w:rPr>
          <w:rFonts w:ascii="Palatino Linotype" w:eastAsia="Palatino Linotype" w:hAnsi="Palatino Linotype" w:cs="Palatino Linotype"/>
        </w:rPr>
        <w:t>•</w:t>
      </w:r>
      <w:r w:rsidRPr="0027541A">
        <w:rPr>
          <w:rFonts w:ascii="Palatino Linotype" w:eastAsia="Palatino Linotype" w:hAnsi="Palatino Linotype" w:cs="Palatino Linotype"/>
        </w:rPr>
        <w:tab/>
        <w:t xml:space="preserve">Key risk: data privacy — mitigated through </w:t>
      </w:r>
      <w:r w:rsidR="00AD5D0A">
        <w:rPr>
          <w:rFonts w:ascii="Palatino Linotype" w:eastAsia="Palatino Linotype" w:hAnsi="Palatino Linotype" w:cs="Palatino Linotype"/>
        </w:rPr>
        <w:t>consent-based access, encryption, role-based permissions, audit logs, and early legal/privacy compliance work, given the sensitivity of health information under Philippine data privacy law.</w:t>
      </w:r>
    </w:p>
    <w:p w14:paraId="13CD1415" w14:textId="77777777" w:rsidR="002C7C51" w:rsidRDefault="002C7C51" w:rsidP="006364B4">
      <w:pPr>
        <w:spacing w:line="360" w:lineRule="auto"/>
        <w:ind w:left="1418" w:hanging="709"/>
        <w:jc w:val="both"/>
        <w:rPr>
          <w:rFonts w:ascii="Palatino Linotype" w:eastAsia="Palatino Linotype" w:hAnsi="Palatino Linotype" w:cs="Palatino Linotype"/>
        </w:rPr>
      </w:pPr>
    </w:p>
    <w:p w14:paraId="50960021" w14:textId="77777777" w:rsidR="00A862F4" w:rsidRDefault="00000000" w:rsidP="006364B4">
      <w:pPr>
        <w:numPr>
          <w:ilvl w:val="0"/>
          <w:numId w:val="1"/>
        </w:numPr>
        <w:spacing w:line="360" w:lineRule="auto"/>
        <w:rPr>
          <w:rFonts w:ascii="Palatino Linotype" w:eastAsia="Palatino Linotype" w:hAnsi="Palatino Linotype" w:cs="Palatino Linotype"/>
          <w:b/>
          <w:bCs/>
        </w:rPr>
      </w:pPr>
      <w:r>
        <w:rPr>
          <w:rFonts w:ascii="Palatino Linotype" w:eastAsia="Palatino Linotype" w:hAnsi="Palatino Linotype" w:cs="Palatino Linotype"/>
          <w:b/>
          <w:bCs/>
        </w:rPr>
        <w:t>FINANCIAL REQUIREMENT</w:t>
      </w:r>
    </w:p>
    <w:p w14:paraId="02FDD974" w14:textId="591C53CB" w:rsidR="001E1521" w:rsidRDefault="00E26EF0" w:rsidP="006364B4">
      <w:pPr>
        <w:spacing w:line="360" w:lineRule="auto"/>
        <w:ind w:left="720"/>
        <w:jc w:val="both"/>
        <w:rPr>
          <w:rFonts w:ascii="Palatino Linotype" w:eastAsia="Palatino Linotype" w:hAnsi="Palatino Linotype" w:cs="Palatino Linotype"/>
        </w:rPr>
      </w:pPr>
      <w:r>
        <w:rPr>
          <w:rFonts w:ascii="Palatino Linotype" w:eastAsia="Palatino Linotype" w:hAnsi="Palatino Linotype" w:cs="Palatino Linotype"/>
          <w:b/>
          <w:bCs/>
        </w:rPr>
        <w:t>VITAL</w:t>
      </w:r>
      <w:r w:rsidR="001F6491" w:rsidRPr="001F6491">
        <w:rPr>
          <w:rFonts w:ascii="Palatino Linotype" w:eastAsia="Palatino Linotype" w:hAnsi="Palatino Linotype" w:cs="Palatino Linotype"/>
        </w:rPr>
        <w:t xml:space="preserve"> is seeking approximately </w:t>
      </w:r>
      <w:r w:rsidR="001F6491" w:rsidRPr="001F6491">
        <w:rPr>
          <w:rFonts w:ascii="Times New Roman" w:eastAsia="Palatino Linotype" w:hAnsi="Times New Roman" w:cs="Times New Roman"/>
        </w:rPr>
        <w:t>₱</w:t>
      </w:r>
      <w:r w:rsidR="00AF3B10">
        <w:rPr>
          <w:rFonts w:ascii="Palatino Linotype" w:eastAsia="Palatino Linotype" w:hAnsi="Palatino Linotype" w:cs="Palatino Linotype"/>
        </w:rPr>
        <w:t>1</w:t>
      </w:r>
      <w:r w:rsidR="00D472FC">
        <w:rPr>
          <w:rFonts w:ascii="Palatino Linotype" w:eastAsia="Palatino Linotype" w:hAnsi="Palatino Linotype" w:cs="Palatino Linotype"/>
        </w:rPr>
        <w:t>65</w:t>
      </w:r>
      <w:r w:rsidR="001F6491" w:rsidRPr="001F6491">
        <w:rPr>
          <w:rFonts w:ascii="Palatino Linotype" w:eastAsia="Palatino Linotype" w:hAnsi="Palatino Linotype" w:cs="Palatino Linotype"/>
        </w:rPr>
        <w:t xml:space="preserve">,000 in seed/pilot funding — through PSC XI support, a startup grant, or founder/partner contributions — </w:t>
      </w:r>
      <w:r w:rsidR="00D472FC" w:rsidRPr="00D472FC">
        <w:rPr>
          <w:rFonts w:ascii="Palatino Linotype" w:eastAsia="Palatino Linotype" w:hAnsi="Palatino Linotype" w:cs="Palatino Linotype"/>
        </w:rPr>
        <w:t>for Phase 1: building the MVP in-house and running a 4–</w:t>
      </w:r>
      <w:r w:rsidR="00D472FC" w:rsidRPr="00D472FC">
        <w:rPr>
          <w:rFonts w:ascii="Palatino Linotype" w:eastAsia="Palatino Linotype" w:hAnsi="Palatino Linotype" w:cs="Palatino Linotype"/>
        </w:rPr>
        <w:t>6-week</w:t>
      </w:r>
      <w:r w:rsidR="00D472FC" w:rsidRPr="00D472FC">
        <w:rPr>
          <w:rFonts w:ascii="Palatino Linotype" w:eastAsia="Palatino Linotype" w:hAnsi="Palatino Linotype" w:cs="Palatino Linotype"/>
        </w:rPr>
        <w:t xml:space="preserve"> pilot in Bohol with 1–2 RHUs/clinics, one partner laboratory and 50–100 patients. Deployment to additional Bohol facilities (Phase 2) is not included. Costs are based on current published prices for hosting, SMS, devices, mobile data in Bohol, and typical provincial legal review fees (planning estimates for validation, not a final budget):</w:t>
      </w:r>
    </w:p>
    <w:tbl>
      <w:tblPr>
        <w:tblStyle w:val="TableGrid"/>
        <w:tblW w:w="0" w:type="auto"/>
        <w:tblInd w:w="720" w:type="dxa"/>
        <w:tblLook w:val="04A0" w:firstRow="1" w:lastRow="0" w:firstColumn="1" w:lastColumn="0" w:noHBand="0" w:noVBand="1"/>
      </w:tblPr>
      <w:tblGrid>
        <w:gridCol w:w="2536"/>
        <w:gridCol w:w="3671"/>
        <w:gridCol w:w="2089"/>
      </w:tblGrid>
      <w:tr w:rsidR="00635E05" w14:paraId="05466425" w14:textId="77777777" w:rsidTr="00E26EF0">
        <w:tc>
          <w:tcPr>
            <w:tcW w:w="2536" w:type="dxa"/>
          </w:tcPr>
          <w:p w14:paraId="18FE74A3" w14:textId="152E989D" w:rsidR="00635E05" w:rsidRPr="00AF0553" w:rsidRDefault="009E3060" w:rsidP="006364B4">
            <w:pPr>
              <w:spacing w:line="360" w:lineRule="auto"/>
              <w:jc w:val="both"/>
              <w:rPr>
                <w:rFonts w:ascii="Palatino Linotype" w:eastAsia="Palatino Linotype" w:hAnsi="Palatino Linotype" w:cs="Palatino Linotype"/>
                <w:b/>
                <w:bCs/>
              </w:rPr>
            </w:pPr>
            <w:r>
              <w:rPr>
                <w:rFonts w:ascii="Palatino Linotype" w:eastAsia="Palatino Linotype" w:hAnsi="Palatino Linotype" w:cs="Palatino Linotype"/>
                <w:b/>
                <w:bCs/>
              </w:rPr>
              <w:t>I</w:t>
            </w:r>
            <w:r w:rsidR="00635E05" w:rsidRPr="00AF0553">
              <w:rPr>
                <w:rFonts w:ascii="Palatino Linotype" w:eastAsia="Palatino Linotype" w:hAnsi="Palatino Linotype" w:cs="Palatino Linotype"/>
                <w:b/>
                <w:bCs/>
              </w:rPr>
              <w:t>tem</w:t>
            </w:r>
          </w:p>
        </w:tc>
        <w:tc>
          <w:tcPr>
            <w:tcW w:w="3671" w:type="dxa"/>
          </w:tcPr>
          <w:p w14:paraId="14809667" w14:textId="4A77CE40" w:rsidR="00635E05" w:rsidRPr="00AF0553" w:rsidRDefault="00635E05" w:rsidP="006364B4">
            <w:pPr>
              <w:spacing w:line="360" w:lineRule="auto"/>
              <w:jc w:val="both"/>
              <w:rPr>
                <w:rFonts w:ascii="Palatino Linotype" w:eastAsia="Palatino Linotype" w:hAnsi="Palatino Linotype" w:cs="Palatino Linotype"/>
                <w:b/>
                <w:bCs/>
              </w:rPr>
            </w:pPr>
            <w:r>
              <w:rPr>
                <w:rFonts w:ascii="Palatino Linotype" w:eastAsia="Palatino Linotype" w:hAnsi="Palatino Linotype" w:cs="Palatino Linotype"/>
                <w:b/>
                <w:bCs/>
              </w:rPr>
              <w:t>Purpose</w:t>
            </w:r>
          </w:p>
        </w:tc>
        <w:tc>
          <w:tcPr>
            <w:tcW w:w="2089" w:type="dxa"/>
          </w:tcPr>
          <w:p w14:paraId="74CD5BC4" w14:textId="7B234E52" w:rsidR="00635E05" w:rsidRPr="00AF0553" w:rsidRDefault="00635E05" w:rsidP="006364B4">
            <w:pPr>
              <w:spacing w:line="360" w:lineRule="auto"/>
              <w:jc w:val="both"/>
              <w:rPr>
                <w:rFonts w:ascii="Palatino Linotype" w:eastAsia="Palatino Linotype" w:hAnsi="Palatino Linotype" w:cs="Palatino Linotype"/>
                <w:b/>
                <w:bCs/>
              </w:rPr>
            </w:pPr>
            <w:r w:rsidRPr="00AF0553">
              <w:rPr>
                <w:rFonts w:ascii="Palatino Linotype" w:eastAsia="Palatino Linotype" w:hAnsi="Palatino Linotype" w:cs="Palatino Linotype"/>
                <w:b/>
                <w:bCs/>
              </w:rPr>
              <w:t>Estimated Cost (</w:t>
            </w:r>
            <w:proofErr w:type="spellStart"/>
            <w:r w:rsidRPr="00AF0553">
              <w:rPr>
                <w:rFonts w:ascii="Palatino Linotype" w:eastAsia="Palatino Linotype" w:hAnsi="Palatino Linotype" w:cs="Palatino Linotype"/>
                <w:b/>
                <w:bCs/>
              </w:rPr>
              <w:t>Php</w:t>
            </w:r>
            <w:proofErr w:type="spellEnd"/>
            <w:r w:rsidRPr="00AF0553">
              <w:rPr>
                <w:rFonts w:ascii="Palatino Linotype" w:eastAsia="Palatino Linotype" w:hAnsi="Palatino Linotype" w:cs="Palatino Linotype"/>
                <w:b/>
                <w:bCs/>
              </w:rPr>
              <w:t>)</w:t>
            </w:r>
          </w:p>
        </w:tc>
      </w:tr>
      <w:tr w:rsidR="00635E05" w14:paraId="3DE48254" w14:textId="77777777" w:rsidTr="00E26EF0">
        <w:tc>
          <w:tcPr>
            <w:tcW w:w="2536" w:type="dxa"/>
          </w:tcPr>
          <w:p w14:paraId="1E60F361" w14:textId="306DB33A" w:rsidR="00635E05"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MVP development (team-built)</w:t>
            </w:r>
          </w:p>
        </w:tc>
        <w:tc>
          <w:tcPr>
            <w:tcW w:w="3671" w:type="dxa"/>
          </w:tcPr>
          <w:p w14:paraId="16409F2C" w14:textId="09C9D8D9" w:rsidR="00635E05"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Build the patient Health Wallet, RHU/clinic portal and laboratory portal for digital referrals, scheduling and result delivery. Covers team stipends based on the Bohol minimum daily wage, a low-end test phone, and free development tools.</w:t>
            </w:r>
          </w:p>
        </w:tc>
        <w:tc>
          <w:tcPr>
            <w:tcW w:w="2089" w:type="dxa"/>
          </w:tcPr>
          <w:p w14:paraId="0865A12A" w14:textId="06B0223E" w:rsidR="00635E05" w:rsidRDefault="00635E05" w:rsidP="006364B4">
            <w:pPr>
              <w:spacing w:line="360" w:lineRule="auto"/>
              <w:jc w:val="both"/>
              <w:rPr>
                <w:rFonts w:ascii="Palatino Linotype" w:eastAsia="Palatino Linotype" w:hAnsi="Palatino Linotype" w:cs="Palatino Linotype"/>
              </w:rPr>
            </w:pPr>
            <w:r w:rsidRPr="00934EA8">
              <w:rPr>
                <w:rFonts w:ascii="Times New Roman" w:eastAsia="Palatino Linotype" w:hAnsi="Times New Roman" w:cs="Times New Roman"/>
              </w:rPr>
              <w:t>₱</w:t>
            </w:r>
            <w:r w:rsidR="00AF3B10">
              <w:rPr>
                <w:rFonts w:ascii="Times New Roman" w:eastAsia="Palatino Linotype" w:hAnsi="Times New Roman" w:cs="Times New Roman"/>
              </w:rPr>
              <w:t>70,000</w:t>
            </w:r>
          </w:p>
        </w:tc>
      </w:tr>
      <w:tr w:rsidR="00635E05" w14:paraId="6F3C8BC8" w14:textId="77777777" w:rsidTr="00E26EF0">
        <w:tc>
          <w:tcPr>
            <w:tcW w:w="2536" w:type="dxa"/>
          </w:tcPr>
          <w:p w14:paraId="5C3E69FD" w14:textId="77777777" w:rsidR="00D472FC" w:rsidRPr="00D472FC" w:rsidRDefault="00D472FC" w:rsidP="00D472FC">
            <w:pPr>
              <w:spacing w:line="360" w:lineRule="auto"/>
              <w:jc w:val="both"/>
              <w:rPr>
                <w:rFonts w:ascii="Palatino Linotype" w:eastAsia="Palatino Linotype" w:hAnsi="Palatino Linotype" w:cs="Palatino Linotype"/>
                <w:lang w:val="en-PH"/>
              </w:rPr>
            </w:pPr>
            <w:r w:rsidRPr="00D472FC">
              <w:rPr>
                <w:rFonts w:ascii="Palatino Linotype" w:eastAsia="Palatino Linotype" w:hAnsi="Palatino Linotype" w:cs="Palatino Linotype"/>
                <w:lang w:val="en-PH"/>
              </w:rPr>
              <w:t>Hosting, security &amp; reliability </w:t>
            </w:r>
          </w:p>
          <w:p w14:paraId="787C8F51" w14:textId="05850C88" w:rsidR="00635E05" w:rsidRDefault="00635E05" w:rsidP="006364B4">
            <w:pPr>
              <w:spacing w:line="360" w:lineRule="auto"/>
              <w:jc w:val="both"/>
              <w:rPr>
                <w:rFonts w:ascii="Palatino Linotype" w:eastAsia="Palatino Linotype" w:hAnsi="Palatino Linotype" w:cs="Palatino Linotype"/>
              </w:rPr>
            </w:pPr>
          </w:p>
        </w:tc>
        <w:tc>
          <w:tcPr>
            <w:tcW w:w="3671" w:type="dxa"/>
          </w:tcPr>
          <w:p w14:paraId="1F56C00A" w14:textId="2EE0FCB0" w:rsidR="00635E05"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 xml:space="preserve">Cloud hosting for 3 months (development and pilot): app server, managed database with automatic backups and 7-day restore, encrypted </w:t>
            </w:r>
            <w:r w:rsidRPr="00D472FC">
              <w:rPr>
                <w:rFonts w:ascii="Times New Roman" w:eastAsia="Palatino Linotype" w:hAnsi="Times New Roman" w:cs="Times New Roman"/>
              </w:rPr>
              <w:lastRenderedPageBreak/>
              <w:t>storage for lab results, domain, uptime monitoring and error tracking.</w:t>
            </w:r>
          </w:p>
        </w:tc>
        <w:tc>
          <w:tcPr>
            <w:tcW w:w="2089" w:type="dxa"/>
          </w:tcPr>
          <w:p w14:paraId="5D931940" w14:textId="006F50CB" w:rsidR="00635E05" w:rsidRDefault="00635E05" w:rsidP="006364B4">
            <w:pPr>
              <w:spacing w:line="360" w:lineRule="auto"/>
              <w:jc w:val="both"/>
              <w:rPr>
                <w:rFonts w:ascii="Palatino Linotype" w:eastAsia="Palatino Linotype" w:hAnsi="Palatino Linotype" w:cs="Palatino Linotype"/>
              </w:rPr>
            </w:pPr>
            <w:r w:rsidRPr="00934EA8">
              <w:rPr>
                <w:rFonts w:ascii="Times New Roman" w:eastAsia="Palatino Linotype" w:hAnsi="Times New Roman" w:cs="Times New Roman"/>
              </w:rPr>
              <w:lastRenderedPageBreak/>
              <w:t>₱</w:t>
            </w:r>
            <w:r w:rsidR="00AF3B10">
              <w:rPr>
                <w:rFonts w:ascii="Times New Roman" w:eastAsia="Palatino Linotype" w:hAnsi="Times New Roman" w:cs="Times New Roman"/>
              </w:rPr>
              <w:t>1</w:t>
            </w:r>
            <w:r w:rsidR="00D472FC">
              <w:rPr>
                <w:rFonts w:ascii="Times New Roman" w:eastAsia="Palatino Linotype" w:hAnsi="Times New Roman" w:cs="Times New Roman"/>
              </w:rPr>
              <w:t>0</w:t>
            </w:r>
            <w:r w:rsidR="00AF3B10">
              <w:rPr>
                <w:rFonts w:ascii="Times New Roman" w:eastAsia="Palatino Linotype" w:hAnsi="Times New Roman" w:cs="Times New Roman"/>
              </w:rPr>
              <w:t>,000</w:t>
            </w:r>
          </w:p>
        </w:tc>
      </w:tr>
      <w:tr w:rsidR="00635E05" w14:paraId="5EC06133" w14:textId="77777777" w:rsidTr="00E26EF0">
        <w:tc>
          <w:tcPr>
            <w:tcW w:w="2536" w:type="dxa"/>
          </w:tcPr>
          <w:p w14:paraId="00CB6834" w14:textId="6E227827" w:rsidR="00635E05"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SMS notifications</w:t>
            </w:r>
          </w:p>
        </w:tc>
        <w:tc>
          <w:tcPr>
            <w:tcW w:w="3671" w:type="dxa"/>
          </w:tcPr>
          <w:p w14:paraId="735D372F" w14:textId="4BB6B12C" w:rsidR="00635E05"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About 1,000 appointment reminders and result alerts for patients without smartphones, through a local SMS provider.</w:t>
            </w:r>
          </w:p>
        </w:tc>
        <w:tc>
          <w:tcPr>
            <w:tcW w:w="2089" w:type="dxa"/>
          </w:tcPr>
          <w:p w14:paraId="16693FC7" w14:textId="1B1D2191" w:rsidR="00635E05" w:rsidRDefault="00635E05" w:rsidP="006364B4">
            <w:pPr>
              <w:spacing w:line="360" w:lineRule="auto"/>
              <w:jc w:val="both"/>
              <w:rPr>
                <w:rFonts w:ascii="Palatino Linotype" w:eastAsia="Palatino Linotype" w:hAnsi="Palatino Linotype" w:cs="Palatino Linotype"/>
              </w:rPr>
            </w:pPr>
            <w:r w:rsidRPr="00934EA8">
              <w:rPr>
                <w:rFonts w:ascii="Times New Roman" w:eastAsia="Palatino Linotype" w:hAnsi="Times New Roman" w:cs="Times New Roman"/>
              </w:rPr>
              <w:t>₱</w:t>
            </w:r>
            <w:r w:rsidR="00D472FC">
              <w:rPr>
                <w:rFonts w:ascii="Times New Roman" w:eastAsia="Palatino Linotype" w:hAnsi="Times New Roman" w:cs="Times New Roman"/>
              </w:rPr>
              <w:t>1</w:t>
            </w:r>
            <w:r w:rsidR="00AF3B10">
              <w:rPr>
                <w:rFonts w:ascii="Times New Roman" w:eastAsia="Palatino Linotype" w:hAnsi="Times New Roman" w:cs="Times New Roman"/>
              </w:rPr>
              <w:t>,000</w:t>
            </w:r>
          </w:p>
        </w:tc>
      </w:tr>
      <w:tr w:rsidR="00635E05" w14:paraId="6A46791E" w14:textId="77777777" w:rsidTr="00E26EF0">
        <w:tc>
          <w:tcPr>
            <w:tcW w:w="2536" w:type="dxa"/>
          </w:tcPr>
          <w:p w14:paraId="155DD7CE" w14:textId="0CE01B29" w:rsidR="00635E05" w:rsidRDefault="00D472FC" w:rsidP="006364B4">
            <w:pPr>
              <w:spacing w:line="360" w:lineRule="auto"/>
              <w:rPr>
                <w:rFonts w:ascii="Palatino Linotype" w:eastAsia="Palatino Linotype" w:hAnsi="Palatino Linotype" w:cs="Palatino Linotype"/>
              </w:rPr>
            </w:pPr>
            <w:r w:rsidRPr="00D472FC">
              <w:rPr>
                <w:rFonts w:ascii="Palatino Linotype" w:eastAsia="Palatino Linotype" w:hAnsi="Palatino Linotype" w:cs="Palatino Linotype"/>
              </w:rPr>
              <w:t>Pilot operations &amp; onboarding (1–2 RHUs/clinics, 1 lab)</w:t>
            </w:r>
          </w:p>
        </w:tc>
        <w:tc>
          <w:tcPr>
            <w:tcW w:w="3671" w:type="dxa"/>
          </w:tcPr>
          <w:p w14:paraId="57D87A0B" w14:textId="0C82BE50" w:rsidR="00635E05" w:rsidRPr="00D472FC" w:rsidRDefault="00D472FC" w:rsidP="006364B4">
            <w:pPr>
              <w:tabs>
                <w:tab w:val="left" w:pos="1050"/>
              </w:tabs>
              <w:spacing w:line="360" w:lineRule="auto"/>
              <w:rPr>
                <w:rFonts w:ascii="Times New Roman" w:eastAsia="Palatino Linotype" w:hAnsi="Times New Roman" w:cs="Times New Roman"/>
                <w:lang w:val="en-PH"/>
              </w:rPr>
            </w:pPr>
            <w:r w:rsidRPr="00D472FC">
              <w:rPr>
                <w:rFonts w:ascii="Times New Roman" w:eastAsia="Palatino Linotype" w:hAnsi="Times New Roman" w:cs="Times New Roman"/>
                <w:lang w:val="en-PH"/>
              </w:rPr>
              <w:t>Train and onboard pilot partners and support day-today pilot coordination in Bohol.</w:t>
            </w:r>
          </w:p>
        </w:tc>
        <w:tc>
          <w:tcPr>
            <w:tcW w:w="2089" w:type="dxa"/>
          </w:tcPr>
          <w:p w14:paraId="4C2CB5C7" w14:textId="0BEC8A4F" w:rsidR="00635E05" w:rsidRDefault="00635E05" w:rsidP="006364B4">
            <w:pPr>
              <w:tabs>
                <w:tab w:val="left" w:pos="1050"/>
              </w:tabs>
              <w:spacing w:line="360" w:lineRule="auto"/>
              <w:rPr>
                <w:rFonts w:ascii="Palatino Linotype" w:eastAsia="Palatino Linotype" w:hAnsi="Palatino Linotype" w:cs="Palatino Linotype"/>
              </w:rPr>
            </w:pPr>
            <w:r w:rsidRPr="00934EA8">
              <w:rPr>
                <w:rFonts w:ascii="Times New Roman" w:eastAsia="Palatino Linotype" w:hAnsi="Times New Roman" w:cs="Times New Roman"/>
              </w:rPr>
              <w:t>₱</w:t>
            </w:r>
            <w:r w:rsidR="00D472FC">
              <w:rPr>
                <w:rFonts w:ascii="Times New Roman" w:eastAsia="Palatino Linotype" w:hAnsi="Times New Roman" w:cs="Times New Roman"/>
              </w:rPr>
              <w:t>20</w:t>
            </w:r>
            <w:r w:rsidR="00AF3B10">
              <w:rPr>
                <w:rFonts w:ascii="Times New Roman" w:eastAsia="Palatino Linotype" w:hAnsi="Times New Roman" w:cs="Times New Roman"/>
              </w:rPr>
              <w:t>,000</w:t>
            </w:r>
          </w:p>
        </w:tc>
      </w:tr>
      <w:tr w:rsidR="00635E05" w14:paraId="09880DB6" w14:textId="77777777" w:rsidTr="00E26EF0">
        <w:tc>
          <w:tcPr>
            <w:tcW w:w="2536" w:type="dxa"/>
          </w:tcPr>
          <w:p w14:paraId="2CA16E55" w14:textId="5B04355F" w:rsidR="00635E05"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RHU equipment &amp; connectivity (if needed)</w:t>
            </w:r>
          </w:p>
        </w:tc>
        <w:tc>
          <w:tcPr>
            <w:tcW w:w="3671" w:type="dxa"/>
          </w:tcPr>
          <w:p w14:paraId="6688B998" w14:textId="1B1F617D" w:rsidR="00635E05"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One tablet and two months of mobile data for a pilot site without a working device.</w:t>
            </w:r>
          </w:p>
        </w:tc>
        <w:tc>
          <w:tcPr>
            <w:tcW w:w="2089" w:type="dxa"/>
          </w:tcPr>
          <w:p w14:paraId="48128513" w14:textId="59BE70B7" w:rsidR="00635E05" w:rsidRDefault="00635E05" w:rsidP="006364B4">
            <w:pPr>
              <w:spacing w:line="360" w:lineRule="auto"/>
              <w:jc w:val="both"/>
              <w:rPr>
                <w:rFonts w:ascii="Palatino Linotype" w:eastAsia="Palatino Linotype" w:hAnsi="Palatino Linotype" w:cs="Palatino Linotype"/>
              </w:rPr>
            </w:pPr>
            <w:r w:rsidRPr="00934EA8">
              <w:rPr>
                <w:rFonts w:ascii="Times New Roman" w:eastAsia="Palatino Linotype" w:hAnsi="Times New Roman" w:cs="Times New Roman"/>
              </w:rPr>
              <w:t>₱</w:t>
            </w:r>
            <w:r w:rsidR="00AF3B10">
              <w:rPr>
                <w:rFonts w:ascii="Times New Roman" w:eastAsia="Palatino Linotype" w:hAnsi="Times New Roman" w:cs="Times New Roman"/>
              </w:rPr>
              <w:t>1</w:t>
            </w:r>
            <w:r w:rsidR="009E3060">
              <w:rPr>
                <w:rFonts w:ascii="Times New Roman" w:eastAsia="Palatino Linotype" w:hAnsi="Times New Roman" w:cs="Times New Roman"/>
              </w:rPr>
              <w:t>2</w:t>
            </w:r>
            <w:r w:rsidR="00AF3B10">
              <w:rPr>
                <w:rFonts w:ascii="Times New Roman" w:eastAsia="Palatino Linotype" w:hAnsi="Times New Roman" w:cs="Times New Roman"/>
              </w:rPr>
              <w:t>,000</w:t>
            </w:r>
          </w:p>
        </w:tc>
      </w:tr>
      <w:tr w:rsidR="00D472FC" w14:paraId="5754BBAE" w14:textId="77777777" w:rsidTr="00E26EF0">
        <w:tc>
          <w:tcPr>
            <w:tcW w:w="2536" w:type="dxa"/>
          </w:tcPr>
          <w:p w14:paraId="08823BFE" w14:textId="34FC6BCE" w:rsidR="00D472FC" w:rsidRPr="00D472FC"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Legal &amp; data-privacy compliance</w:t>
            </w:r>
          </w:p>
        </w:tc>
        <w:tc>
          <w:tcPr>
            <w:tcW w:w="3671" w:type="dxa"/>
          </w:tcPr>
          <w:p w14:paraId="0744432A" w14:textId="0549161D" w:rsidR="00D472FC" w:rsidRPr="00D472FC"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Legal review of patient documents (privacy notice, consent form, terms of use), partner agreements (MOA, data sharing agreement) and team agreements; NPC registration or exemption; Privacy Impact Assessment and breach response plan.</w:t>
            </w:r>
          </w:p>
        </w:tc>
        <w:tc>
          <w:tcPr>
            <w:tcW w:w="2089" w:type="dxa"/>
          </w:tcPr>
          <w:p w14:paraId="60D14519" w14:textId="424309CF" w:rsidR="00D472FC" w:rsidRPr="00934EA8" w:rsidRDefault="00D472FC" w:rsidP="00D472FC">
            <w:pPr>
              <w:spacing w:line="360" w:lineRule="auto"/>
              <w:rPr>
                <w:rFonts w:ascii="Times New Roman" w:eastAsia="Palatino Linotype" w:hAnsi="Times New Roman" w:cs="Times New Roman"/>
              </w:rPr>
            </w:pPr>
            <w:r w:rsidRPr="00D472FC">
              <w:rPr>
                <w:rFonts w:ascii="Times New Roman" w:eastAsia="Palatino Linotype" w:hAnsi="Times New Roman" w:cs="Times New Roman"/>
              </w:rPr>
              <w:t>₱35,000</w:t>
            </w:r>
          </w:p>
        </w:tc>
      </w:tr>
      <w:tr w:rsidR="00D472FC" w14:paraId="63D7E869" w14:textId="77777777" w:rsidTr="00E26EF0">
        <w:tc>
          <w:tcPr>
            <w:tcW w:w="2536" w:type="dxa"/>
          </w:tcPr>
          <w:p w14:paraId="73385ED2" w14:textId="6A2B2A3A" w:rsidR="00D472FC" w:rsidRPr="00D472FC"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Monitoring &amp; evaluation</w:t>
            </w:r>
          </w:p>
        </w:tc>
        <w:tc>
          <w:tcPr>
            <w:tcW w:w="3671" w:type="dxa"/>
          </w:tcPr>
          <w:p w14:paraId="549A8551" w14:textId="515F7643" w:rsidR="00D472FC" w:rsidRPr="00D472FC"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Baseline and pilot measurement of referral turnaround, completed referrals, digital result delivery and provider feedback.</w:t>
            </w:r>
          </w:p>
        </w:tc>
        <w:tc>
          <w:tcPr>
            <w:tcW w:w="2089" w:type="dxa"/>
          </w:tcPr>
          <w:p w14:paraId="46F944F9" w14:textId="5C308594" w:rsidR="00D472FC"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₱2,000</w:t>
            </w:r>
          </w:p>
        </w:tc>
      </w:tr>
      <w:tr w:rsidR="00D472FC" w14:paraId="6C0FE20A" w14:textId="77777777" w:rsidTr="00E26EF0">
        <w:tc>
          <w:tcPr>
            <w:tcW w:w="2536" w:type="dxa"/>
          </w:tcPr>
          <w:p w14:paraId="0C52F190" w14:textId="1850F684" w:rsidR="00D472FC" w:rsidRPr="00D472FC"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Subtotal</w:t>
            </w:r>
          </w:p>
        </w:tc>
        <w:tc>
          <w:tcPr>
            <w:tcW w:w="3671" w:type="dxa"/>
          </w:tcPr>
          <w:p w14:paraId="6509D9E2" w14:textId="77777777" w:rsidR="00D472FC" w:rsidRPr="00D472FC" w:rsidRDefault="00D472FC" w:rsidP="006364B4">
            <w:pPr>
              <w:spacing w:line="360" w:lineRule="auto"/>
              <w:jc w:val="both"/>
              <w:rPr>
                <w:rFonts w:ascii="Times New Roman" w:eastAsia="Palatino Linotype" w:hAnsi="Times New Roman" w:cs="Times New Roman"/>
              </w:rPr>
            </w:pPr>
          </w:p>
        </w:tc>
        <w:tc>
          <w:tcPr>
            <w:tcW w:w="2089" w:type="dxa"/>
          </w:tcPr>
          <w:p w14:paraId="45F89243" w14:textId="09575D9D" w:rsidR="00D472FC"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₱150,000</w:t>
            </w:r>
          </w:p>
        </w:tc>
      </w:tr>
      <w:tr w:rsidR="00D472FC" w14:paraId="16D37BA4" w14:textId="77777777" w:rsidTr="00E26EF0">
        <w:tc>
          <w:tcPr>
            <w:tcW w:w="2536" w:type="dxa"/>
          </w:tcPr>
          <w:p w14:paraId="3D21FA7A" w14:textId="7D41C7F5" w:rsidR="00D472FC" w:rsidRPr="00D472FC" w:rsidRDefault="00D472FC" w:rsidP="006364B4">
            <w:pPr>
              <w:spacing w:line="360" w:lineRule="auto"/>
              <w:jc w:val="both"/>
              <w:rPr>
                <w:rFonts w:ascii="Palatino Linotype" w:eastAsia="Palatino Linotype" w:hAnsi="Palatino Linotype" w:cs="Palatino Linotype"/>
              </w:rPr>
            </w:pPr>
            <w:r w:rsidRPr="00D472FC">
              <w:rPr>
                <w:rFonts w:ascii="Palatino Linotype" w:eastAsia="Palatino Linotype" w:hAnsi="Palatino Linotype" w:cs="Palatino Linotype"/>
              </w:rPr>
              <w:t>Contingency (≈10%)</w:t>
            </w:r>
          </w:p>
        </w:tc>
        <w:tc>
          <w:tcPr>
            <w:tcW w:w="3671" w:type="dxa"/>
          </w:tcPr>
          <w:p w14:paraId="5B92E6BF" w14:textId="77777777" w:rsidR="00D472FC" w:rsidRPr="00D472FC" w:rsidRDefault="00D472FC" w:rsidP="006364B4">
            <w:pPr>
              <w:spacing w:line="360" w:lineRule="auto"/>
              <w:jc w:val="both"/>
              <w:rPr>
                <w:rFonts w:ascii="Times New Roman" w:eastAsia="Palatino Linotype" w:hAnsi="Times New Roman" w:cs="Times New Roman"/>
              </w:rPr>
            </w:pPr>
          </w:p>
        </w:tc>
        <w:tc>
          <w:tcPr>
            <w:tcW w:w="2089" w:type="dxa"/>
          </w:tcPr>
          <w:p w14:paraId="2DAB11B8" w14:textId="144DD099" w:rsidR="00D472FC" w:rsidRPr="00934EA8" w:rsidRDefault="00D472FC" w:rsidP="006364B4">
            <w:pPr>
              <w:spacing w:line="360" w:lineRule="auto"/>
              <w:jc w:val="both"/>
              <w:rPr>
                <w:rFonts w:ascii="Times New Roman" w:eastAsia="Palatino Linotype" w:hAnsi="Times New Roman" w:cs="Times New Roman"/>
              </w:rPr>
            </w:pPr>
            <w:r w:rsidRPr="00D472FC">
              <w:rPr>
                <w:rFonts w:ascii="Times New Roman" w:eastAsia="Palatino Linotype" w:hAnsi="Times New Roman" w:cs="Times New Roman"/>
              </w:rPr>
              <w:t>₱15,000</w:t>
            </w:r>
          </w:p>
        </w:tc>
      </w:tr>
      <w:tr w:rsidR="00635E05" w14:paraId="7D016947" w14:textId="77777777" w:rsidTr="00E26EF0">
        <w:tc>
          <w:tcPr>
            <w:tcW w:w="2536" w:type="dxa"/>
          </w:tcPr>
          <w:p w14:paraId="4382B07F" w14:textId="56C97743" w:rsidR="00635E05" w:rsidRDefault="00635E05" w:rsidP="006364B4">
            <w:pPr>
              <w:spacing w:line="360" w:lineRule="auto"/>
              <w:jc w:val="both"/>
              <w:rPr>
                <w:rFonts w:ascii="Palatino Linotype" w:eastAsia="Palatino Linotype" w:hAnsi="Palatino Linotype" w:cs="Palatino Linotype"/>
              </w:rPr>
            </w:pPr>
            <w:r w:rsidRPr="00934EA8">
              <w:rPr>
                <w:rFonts w:ascii="Palatino Linotype" w:eastAsia="Palatino Linotype" w:hAnsi="Palatino Linotype" w:cs="Palatino Linotype"/>
              </w:rPr>
              <w:t>Total Estimated Requirement</w:t>
            </w:r>
          </w:p>
        </w:tc>
        <w:tc>
          <w:tcPr>
            <w:tcW w:w="3671" w:type="dxa"/>
          </w:tcPr>
          <w:p w14:paraId="3D5E4662" w14:textId="77777777" w:rsidR="00635E05" w:rsidRPr="00934EA8" w:rsidRDefault="00635E05" w:rsidP="006364B4">
            <w:pPr>
              <w:spacing w:line="360" w:lineRule="auto"/>
              <w:jc w:val="both"/>
              <w:rPr>
                <w:rFonts w:ascii="Palatino Linotype" w:eastAsia="Palatino Linotype" w:hAnsi="Palatino Linotype" w:cs="Palatino Linotype"/>
              </w:rPr>
            </w:pPr>
          </w:p>
        </w:tc>
        <w:tc>
          <w:tcPr>
            <w:tcW w:w="2089" w:type="dxa"/>
          </w:tcPr>
          <w:p w14:paraId="07B9C684" w14:textId="0470BC39" w:rsidR="00635E05" w:rsidRDefault="00635E05" w:rsidP="006364B4">
            <w:pPr>
              <w:spacing w:line="360" w:lineRule="auto"/>
              <w:jc w:val="both"/>
              <w:rPr>
                <w:rFonts w:ascii="Palatino Linotype" w:eastAsia="Palatino Linotype" w:hAnsi="Palatino Linotype" w:cs="Palatino Linotype"/>
              </w:rPr>
            </w:pPr>
            <w:r w:rsidRPr="00934EA8">
              <w:rPr>
                <w:rFonts w:ascii="Palatino Linotype" w:eastAsia="Palatino Linotype" w:hAnsi="Palatino Linotype" w:cs="Palatino Linotype"/>
              </w:rPr>
              <w:t xml:space="preserve">≈ </w:t>
            </w:r>
            <w:r w:rsidRPr="00934EA8">
              <w:rPr>
                <w:rFonts w:ascii="Times New Roman" w:eastAsia="Palatino Linotype" w:hAnsi="Times New Roman" w:cs="Times New Roman"/>
              </w:rPr>
              <w:t>₱</w:t>
            </w:r>
            <w:r w:rsidR="00D472FC">
              <w:rPr>
                <w:rFonts w:ascii="Times New Roman" w:eastAsia="Palatino Linotype" w:hAnsi="Times New Roman" w:cs="Times New Roman"/>
              </w:rPr>
              <w:t>165</w:t>
            </w:r>
            <w:r w:rsidR="00AF3B10">
              <w:rPr>
                <w:rFonts w:ascii="Times New Roman" w:eastAsia="Palatino Linotype" w:hAnsi="Times New Roman" w:cs="Times New Roman"/>
              </w:rPr>
              <w:t>,000</w:t>
            </w:r>
          </w:p>
        </w:tc>
      </w:tr>
    </w:tbl>
    <w:p w14:paraId="2A279219" w14:textId="77777777" w:rsidR="00A862F4" w:rsidRDefault="00A862F4" w:rsidP="006364B4">
      <w:pPr>
        <w:spacing w:before="100" w:line="360" w:lineRule="auto"/>
        <w:ind w:right="30"/>
        <w:rPr>
          <w:rFonts w:ascii="Palatino Linotype" w:eastAsia="Palatino Linotype" w:hAnsi="Palatino Linotype" w:cs="Palatino Linotype"/>
        </w:rPr>
      </w:pPr>
    </w:p>
    <w:sectPr w:rsidR="00A862F4">
      <w:headerReference w:type="default" r:id="rId8"/>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DE40D" w14:textId="77777777" w:rsidR="00BC2CA3" w:rsidRDefault="00BC2CA3">
      <w:pPr>
        <w:spacing w:line="240" w:lineRule="auto"/>
      </w:pPr>
      <w:r>
        <w:separator/>
      </w:r>
    </w:p>
  </w:endnote>
  <w:endnote w:type="continuationSeparator" w:id="0">
    <w:p w14:paraId="1345C94B" w14:textId="77777777" w:rsidR="00BC2CA3" w:rsidRDefault="00BC2C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7432AE71-7B4F-4B22-A10E-90821307AA86}"/>
  </w:font>
  <w:font w:name="Palatino Linotype">
    <w:panose1 w:val="02040502050505030304"/>
    <w:charset w:val="00"/>
    <w:family w:val="roman"/>
    <w:pitch w:val="variable"/>
    <w:sig w:usb0="E0000287" w:usb1="40000013" w:usb2="00000000" w:usb3="00000000" w:csb0="0000019F" w:csb1="00000000"/>
    <w:embedRegular r:id="rId2" w:fontKey="{3C7A75EB-73AA-4DD2-BF65-434AC7737334}"/>
    <w:embedBold r:id="rId3" w:fontKey="{E691309C-54D8-480A-A097-0D9960535339}"/>
    <w:embedItalic r:id="rId4" w:fontKey="{D0081640-C2D1-4D68-8E6F-3F220E4682D0}"/>
    <w:embedBoldItalic r:id="rId5" w:fontKey="{39096D1F-3D07-4A10-8ADC-FC0DF63F6E19}"/>
  </w:font>
  <w:font w:name="Calibri">
    <w:panose1 w:val="020F0502020204030204"/>
    <w:charset w:val="00"/>
    <w:family w:val="swiss"/>
    <w:pitch w:val="variable"/>
    <w:sig w:usb0="E4002EFF" w:usb1="C200247B" w:usb2="00000009" w:usb3="00000000" w:csb0="000001FF" w:csb1="00000000"/>
    <w:embedRegular r:id="rId6" w:fontKey="{352EBEBC-D295-4F68-93C1-667EEB1EC806}"/>
  </w:font>
  <w:font w:name="Cambria">
    <w:panose1 w:val="02040503050406030204"/>
    <w:charset w:val="00"/>
    <w:family w:val="roman"/>
    <w:pitch w:val="variable"/>
    <w:sig w:usb0="E00006FF" w:usb1="420024FF" w:usb2="02000000" w:usb3="00000000" w:csb0="0000019F" w:csb1="00000000"/>
    <w:embedRegular r:id="rId7" w:fontKey="{AC8A5526-AA0F-44BE-9D3F-691C64054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86CF" w14:textId="77777777" w:rsidR="00A862F4" w:rsidRDefault="00000000">
    <w:pPr>
      <w:jc w:val="center"/>
      <w:rPr>
        <w:rFonts w:ascii="Palatino Linotype" w:eastAsia="Palatino Linotype" w:hAnsi="Palatino Linotype" w:cs="Palatino Linotype"/>
        <w:i/>
        <w:iCs/>
        <w:sz w:val="18"/>
        <w:szCs w:val="18"/>
      </w:rPr>
    </w:pPr>
    <w:r>
      <w:rPr>
        <w:rFonts w:ascii="Palatino Linotype" w:eastAsia="Palatino Linotype" w:hAnsi="Palatino Linotype" w:cs="Palatino Linotype"/>
        <w:i/>
        <w:iCs/>
        <w:sz w:val="18"/>
        <w:szCs w:val="18"/>
      </w:rPr>
      <w:t xml:space="preserve">Page </w:t>
    </w:r>
    <w:r>
      <w:rPr>
        <w:rFonts w:ascii="Palatino Linotype" w:eastAsia="Palatino Linotype" w:hAnsi="Palatino Linotype" w:cs="Palatino Linotype"/>
        <w:i/>
        <w:iCs/>
        <w:sz w:val="18"/>
        <w:szCs w:val="18"/>
      </w:rPr>
      <w:fldChar w:fldCharType="begin"/>
    </w:r>
    <w:r>
      <w:rPr>
        <w:rFonts w:ascii="Palatino Linotype" w:eastAsia="Palatino Linotype" w:hAnsi="Palatino Linotype" w:cs="Palatino Linotype"/>
        <w:i/>
        <w:iCs/>
        <w:sz w:val="18"/>
        <w:szCs w:val="18"/>
      </w:rPr>
      <w:instrText>PAGE</w:instrText>
    </w:r>
    <w:r>
      <w:rPr>
        <w:rFonts w:ascii="Palatino Linotype" w:eastAsia="Palatino Linotype" w:hAnsi="Palatino Linotype" w:cs="Palatino Linotype"/>
        <w:i/>
        <w:iCs/>
        <w:sz w:val="18"/>
        <w:szCs w:val="18"/>
      </w:rPr>
      <w:fldChar w:fldCharType="separate"/>
    </w:r>
    <w:r w:rsidR="0034417E">
      <w:rPr>
        <w:rFonts w:ascii="Palatino Linotype" w:eastAsia="Palatino Linotype" w:hAnsi="Palatino Linotype" w:cs="Palatino Linotype"/>
        <w:i/>
        <w:iCs/>
        <w:noProof/>
        <w:sz w:val="18"/>
        <w:szCs w:val="18"/>
      </w:rPr>
      <w:t>1</w:t>
    </w:r>
    <w:r>
      <w:rPr>
        <w:rFonts w:ascii="Palatino Linotype" w:eastAsia="Palatino Linotype" w:hAnsi="Palatino Linotype" w:cs="Palatino Linotype"/>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5D64" w14:textId="77777777" w:rsidR="00BC2CA3" w:rsidRDefault="00BC2CA3">
      <w:pPr>
        <w:spacing w:line="240" w:lineRule="auto"/>
      </w:pPr>
      <w:r>
        <w:separator/>
      </w:r>
    </w:p>
  </w:footnote>
  <w:footnote w:type="continuationSeparator" w:id="0">
    <w:p w14:paraId="714C8AD5" w14:textId="77777777" w:rsidR="00BC2CA3" w:rsidRDefault="00BC2C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55A6" w14:textId="77777777" w:rsidR="00A862F4" w:rsidRDefault="00000000">
    <w:r>
      <w:rPr>
        <w:noProof/>
      </w:rPr>
      <w:drawing>
        <wp:anchor distT="0" distB="0" distL="114300" distR="114300" simplePos="0" relativeHeight="251658240" behindDoc="0" locked="0" layoutInCell="1" hidden="0" allowOverlap="1" wp14:anchorId="5AD15908" wp14:editId="2C51796D">
          <wp:simplePos x="0" y="0"/>
          <wp:positionH relativeFrom="column">
            <wp:posOffset>555788</wp:posOffset>
          </wp:positionH>
          <wp:positionV relativeFrom="paragraph">
            <wp:posOffset>-361949</wp:posOffset>
          </wp:positionV>
          <wp:extent cx="4615815" cy="895350"/>
          <wp:effectExtent l="0" t="0" r="0" b="0"/>
          <wp:wrapNone/>
          <wp:docPr id="4"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1"/>
                  <a:srcRect t="24294" b="22596"/>
                  <a:stretch>
                    <a:fillRect/>
                  </a:stretch>
                </pic:blipFill>
                <pic:spPr>
                  <a:xfrm>
                    <a:off x="0" y="0"/>
                    <a:ext cx="4615815" cy="8953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B3F"/>
    <w:multiLevelType w:val="hybridMultilevel"/>
    <w:tmpl w:val="416C569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33E051C"/>
    <w:multiLevelType w:val="multilevel"/>
    <w:tmpl w:val="DE32AD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6146D"/>
    <w:multiLevelType w:val="multilevel"/>
    <w:tmpl w:val="A8F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F75EF"/>
    <w:multiLevelType w:val="hybridMultilevel"/>
    <w:tmpl w:val="2A6CE7E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4E4D1CEE"/>
    <w:multiLevelType w:val="multilevel"/>
    <w:tmpl w:val="E74CEC94"/>
    <w:lvl w:ilvl="0">
      <w:start w:val="1"/>
      <w:numFmt w:val="upperRoman"/>
      <w:lvlText w:val="%1."/>
      <w:lvlJc w:val="right"/>
      <w:pPr>
        <w:ind w:left="502" w:hanging="360"/>
      </w:pPr>
      <w:rPr>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91014B"/>
    <w:multiLevelType w:val="hybridMultilevel"/>
    <w:tmpl w:val="780CD292"/>
    <w:lvl w:ilvl="0" w:tplc="A8FEB37A">
      <w:start w:val="1"/>
      <w:numFmt w:val="bullet"/>
      <w:lvlText w:val="•"/>
      <w:lvlJc w:val="left"/>
      <w:pPr>
        <w:ind w:left="720" w:hanging="360"/>
      </w:pPr>
    </w:lvl>
    <w:lvl w:ilvl="1" w:tplc="BDC4C3C8">
      <w:numFmt w:val="decimal"/>
      <w:lvlText w:val=""/>
      <w:lvlJc w:val="left"/>
      <w:pPr>
        <w:ind w:left="0" w:firstLine="0"/>
      </w:pPr>
    </w:lvl>
    <w:lvl w:ilvl="2" w:tplc="47806970">
      <w:numFmt w:val="decimal"/>
      <w:lvlText w:val=""/>
      <w:lvlJc w:val="left"/>
      <w:pPr>
        <w:ind w:left="0" w:firstLine="0"/>
      </w:pPr>
    </w:lvl>
    <w:lvl w:ilvl="3" w:tplc="6B9C9896">
      <w:numFmt w:val="decimal"/>
      <w:lvlText w:val=""/>
      <w:lvlJc w:val="left"/>
      <w:pPr>
        <w:ind w:left="0" w:firstLine="0"/>
      </w:pPr>
    </w:lvl>
    <w:lvl w:ilvl="4" w:tplc="5270116A">
      <w:numFmt w:val="decimal"/>
      <w:lvlText w:val=""/>
      <w:lvlJc w:val="left"/>
      <w:pPr>
        <w:ind w:left="0" w:firstLine="0"/>
      </w:pPr>
    </w:lvl>
    <w:lvl w:ilvl="5" w:tplc="714C08B8">
      <w:numFmt w:val="decimal"/>
      <w:lvlText w:val=""/>
      <w:lvlJc w:val="left"/>
      <w:pPr>
        <w:ind w:left="0" w:firstLine="0"/>
      </w:pPr>
    </w:lvl>
    <w:lvl w:ilvl="6" w:tplc="EBCEBB16">
      <w:numFmt w:val="decimal"/>
      <w:lvlText w:val=""/>
      <w:lvlJc w:val="left"/>
      <w:pPr>
        <w:ind w:left="0" w:firstLine="0"/>
      </w:pPr>
    </w:lvl>
    <w:lvl w:ilvl="7" w:tplc="D01C386E">
      <w:numFmt w:val="decimal"/>
      <w:lvlText w:val=""/>
      <w:lvlJc w:val="left"/>
      <w:pPr>
        <w:ind w:left="0" w:firstLine="0"/>
      </w:pPr>
    </w:lvl>
    <w:lvl w:ilvl="8" w:tplc="5F909598">
      <w:numFmt w:val="decimal"/>
      <w:lvlText w:val=""/>
      <w:lvlJc w:val="left"/>
      <w:pPr>
        <w:ind w:left="0" w:firstLine="0"/>
      </w:pPr>
    </w:lvl>
  </w:abstractNum>
  <w:abstractNum w:abstractNumId="6" w15:restartNumberingAfterBreak="0">
    <w:nsid w:val="5C12621B"/>
    <w:multiLevelType w:val="multilevel"/>
    <w:tmpl w:val="DE32AD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D66DC"/>
    <w:multiLevelType w:val="hybridMultilevel"/>
    <w:tmpl w:val="AC8CED3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8010F0"/>
    <w:multiLevelType w:val="hybridMultilevel"/>
    <w:tmpl w:val="EA845A9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3820D08"/>
    <w:multiLevelType w:val="hybridMultilevel"/>
    <w:tmpl w:val="46DE2ED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746D598C"/>
    <w:multiLevelType w:val="hybridMultilevel"/>
    <w:tmpl w:val="12C20370"/>
    <w:lvl w:ilvl="0" w:tplc="4F5844AC">
      <w:start w:val="1"/>
      <w:numFmt w:val="bullet"/>
      <w:lvlText w:val="•"/>
      <w:lvlJc w:val="left"/>
      <w:pPr>
        <w:ind w:left="620" w:hanging="320"/>
      </w:pPr>
    </w:lvl>
    <w:lvl w:ilvl="1" w:tplc="FB56C454">
      <w:numFmt w:val="decimal"/>
      <w:lvlText w:val=""/>
      <w:lvlJc w:val="left"/>
      <w:pPr>
        <w:ind w:left="0" w:firstLine="0"/>
      </w:pPr>
    </w:lvl>
    <w:lvl w:ilvl="2" w:tplc="7D521030">
      <w:numFmt w:val="decimal"/>
      <w:lvlText w:val=""/>
      <w:lvlJc w:val="left"/>
      <w:pPr>
        <w:ind w:left="0" w:firstLine="0"/>
      </w:pPr>
    </w:lvl>
    <w:lvl w:ilvl="3" w:tplc="4266C4E0">
      <w:numFmt w:val="decimal"/>
      <w:lvlText w:val=""/>
      <w:lvlJc w:val="left"/>
      <w:pPr>
        <w:ind w:left="0" w:firstLine="0"/>
      </w:pPr>
    </w:lvl>
    <w:lvl w:ilvl="4" w:tplc="5D5C23C2">
      <w:numFmt w:val="decimal"/>
      <w:lvlText w:val=""/>
      <w:lvlJc w:val="left"/>
      <w:pPr>
        <w:ind w:left="0" w:firstLine="0"/>
      </w:pPr>
    </w:lvl>
    <w:lvl w:ilvl="5" w:tplc="3E1C33EA">
      <w:numFmt w:val="decimal"/>
      <w:lvlText w:val=""/>
      <w:lvlJc w:val="left"/>
      <w:pPr>
        <w:ind w:left="0" w:firstLine="0"/>
      </w:pPr>
    </w:lvl>
    <w:lvl w:ilvl="6" w:tplc="289C52EA">
      <w:numFmt w:val="decimal"/>
      <w:lvlText w:val=""/>
      <w:lvlJc w:val="left"/>
      <w:pPr>
        <w:ind w:left="0" w:firstLine="0"/>
      </w:pPr>
    </w:lvl>
    <w:lvl w:ilvl="7" w:tplc="71C863AE">
      <w:numFmt w:val="decimal"/>
      <w:lvlText w:val=""/>
      <w:lvlJc w:val="left"/>
      <w:pPr>
        <w:ind w:left="0" w:firstLine="0"/>
      </w:pPr>
    </w:lvl>
    <w:lvl w:ilvl="8" w:tplc="79C01FA0">
      <w:numFmt w:val="decimal"/>
      <w:lvlText w:val=""/>
      <w:lvlJc w:val="left"/>
      <w:pPr>
        <w:ind w:left="0" w:firstLine="0"/>
      </w:pPr>
    </w:lvl>
  </w:abstractNum>
  <w:abstractNum w:abstractNumId="11" w15:restartNumberingAfterBreak="0">
    <w:nsid w:val="7B6B1B2F"/>
    <w:multiLevelType w:val="hybridMultilevel"/>
    <w:tmpl w:val="3B104CB8"/>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num w:numId="1" w16cid:durableId="802847183">
    <w:abstractNumId w:val="4"/>
  </w:num>
  <w:num w:numId="2" w16cid:durableId="1157114632">
    <w:abstractNumId w:val="5"/>
  </w:num>
  <w:num w:numId="3" w16cid:durableId="1021513020">
    <w:abstractNumId w:val="8"/>
  </w:num>
  <w:num w:numId="4" w16cid:durableId="2074044391">
    <w:abstractNumId w:val="10"/>
  </w:num>
  <w:num w:numId="5" w16cid:durableId="1710304301">
    <w:abstractNumId w:val="9"/>
  </w:num>
  <w:num w:numId="6" w16cid:durableId="178279085">
    <w:abstractNumId w:val="0"/>
  </w:num>
  <w:num w:numId="7" w16cid:durableId="811366370">
    <w:abstractNumId w:val="11"/>
  </w:num>
  <w:num w:numId="8" w16cid:durableId="1774859469">
    <w:abstractNumId w:val="7"/>
  </w:num>
  <w:num w:numId="9" w16cid:durableId="564219609">
    <w:abstractNumId w:val="3"/>
  </w:num>
  <w:num w:numId="10" w16cid:durableId="193884442">
    <w:abstractNumId w:val="6"/>
  </w:num>
  <w:num w:numId="11" w16cid:durableId="1717662102">
    <w:abstractNumId w:val="2"/>
  </w:num>
  <w:num w:numId="12" w16cid:durableId="108936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2F4"/>
    <w:rsid w:val="00005225"/>
    <w:rsid w:val="00062BD0"/>
    <w:rsid w:val="00072CFD"/>
    <w:rsid w:val="0007665D"/>
    <w:rsid w:val="000B63FC"/>
    <w:rsid w:val="000C5F3C"/>
    <w:rsid w:val="001606B5"/>
    <w:rsid w:val="001E1521"/>
    <w:rsid w:val="001F6491"/>
    <w:rsid w:val="0027541A"/>
    <w:rsid w:val="002C7C51"/>
    <w:rsid w:val="002F3310"/>
    <w:rsid w:val="0034417E"/>
    <w:rsid w:val="00380BD6"/>
    <w:rsid w:val="003A1580"/>
    <w:rsid w:val="003A51F6"/>
    <w:rsid w:val="003E4BC0"/>
    <w:rsid w:val="00410E68"/>
    <w:rsid w:val="0045097F"/>
    <w:rsid w:val="004876FD"/>
    <w:rsid w:val="00496003"/>
    <w:rsid w:val="004A2741"/>
    <w:rsid w:val="004D095C"/>
    <w:rsid w:val="004F614A"/>
    <w:rsid w:val="00516EB8"/>
    <w:rsid w:val="005603BC"/>
    <w:rsid w:val="005A5105"/>
    <w:rsid w:val="005C35EC"/>
    <w:rsid w:val="00635E05"/>
    <w:rsid w:val="006364B4"/>
    <w:rsid w:val="00663263"/>
    <w:rsid w:val="006E0B2F"/>
    <w:rsid w:val="006E2C81"/>
    <w:rsid w:val="006F2B52"/>
    <w:rsid w:val="00716345"/>
    <w:rsid w:val="007F5A9F"/>
    <w:rsid w:val="008007D3"/>
    <w:rsid w:val="00801817"/>
    <w:rsid w:val="00876924"/>
    <w:rsid w:val="008B2471"/>
    <w:rsid w:val="00934EA8"/>
    <w:rsid w:val="00951AA3"/>
    <w:rsid w:val="009836D8"/>
    <w:rsid w:val="009C2C30"/>
    <w:rsid w:val="009E3060"/>
    <w:rsid w:val="00A34F95"/>
    <w:rsid w:val="00A84BDE"/>
    <w:rsid w:val="00A862F4"/>
    <w:rsid w:val="00AA0CC4"/>
    <w:rsid w:val="00AB043A"/>
    <w:rsid w:val="00AD5D0A"/>
    <w:rsid w:val="00AF0553"/>
    <w:rsid w:val="00AF3B10"/>
    <w:rsid w:val="00AF3BD4"/>
    <w:rsid w:val="00B90FB8"/>
    <w:rsid w:val="00BA0DFA"/>
    <w:rsid w:val="00BC2CA3"/>
    <w:rsid w:val="00C45175"/>
    <w:rsid w:val="00C73F10"/>
    <w:rsid w:val="00CF466D"/>
    <w:rsid w:val="00D333A9"/>
    <w:rsid w:val="00D472FC"/>
    <w:rsid w:val="00D64660"/>
    <w:rsid w:val="00E26EF0"/>
    <w:rsid w:val="00E4488D"/>
    <w:rsid w:val="00EE464F"/>
    <w:rsid w:val="00F11067"/>
    <w:rsid w:val="00F96012"/>
    <w:rsid w:val="00FF41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CD3C"/>
  <w15:docId w15:val="{D2D2419C-C917-4F19-9466-B3016190E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06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E1B84"/>
    <w:pPr>
      <w:tabs>
        <w:tab w:val="center" w:pos="4680"/>
        <w:tab w:val="right" w:pos="9360"/>
      </w:tabs>
      <w:spacing w:line="240" w:lineRule="auto"/>
    </w:pPr>
  </w:style>
  <w:style w:type="character" w:customStyle="1" w:styleId="HeaderChar">
    <w:name w:val="Header Char"/>
    <w:basedOn w:val="DefaultParagraphFont"/>
    <w:link w:val="Header"/>
    <w:uiPriority w:val="99"/>
    <w:rsid w:val="00AE1B84"/>
  </w:style>
  <w:style w:type="paragraph" w:styleId="Footer">
    <w:name w:val="footer"/>
    <w:basedOn w:val="Normal"/>
    <w:link w:val="FooterChar"/>
    <w:uiPriority w:val="99"/>
    <w:unhideWhenUsed/>
    <w:rsid w:val="00AE1B84"/>
    <w:pPr>
      <w:tabs>
        <w:tab w:val="center" w:pos="4680"/>
        <w:tab w:val="right" w:pos="9360"/>
      </w:tabs>
      <w:spacing w:line="240" w:lineRule="auto"/>
    </w:pPr>
  </w:style>
  <w:style w:type="character" w:customStyle="1" w:styleId="FooterChar">
    <w:name w:val="Footer Char"/>
    <w:basedOn w:val="DefaultParagraphFont"/>
    <w:link w:val="Footer"/>
    <w:uiPriority w:val="99"/>
    <w:rsid w:val="00AE1B84"/>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4417E"/>
    <w:pPr>
      <w:ind w:left="720"/>
      <w:contextualSpacing/>
    </w:pPr>
  </w:style>
  <w:style w:type="table" w:styleId="TableGrid">
    <w:name w:val="Table Grid"/>
    <w:basedOn w:val="TableNormal"/>
    <w:uiPriority w:val="39"/>
    <w:rsid w:val="00934E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FjTOM/81sagg4WO8xN6oYo1SJQ==">CgMxLjA4AHIhMVdrS193VHQ2TjJteDRQd0gtcVRObXh0cHJtVU0zWV9F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2869</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Mareanne Louize Elle Alaban</dc:creator>
  <cp:keywords/>
  <dc:description/>
  <cp:lastModifiedBy>Mareanne Louize Elle Alaban</cp:lastModifiedBy>
  <cp:revision>7</cp:revision>
  <dcterms:created xsi:type="dcterms:W3CDTF">2026-09-29T08:11:00Z</dcterms:created>
  <dcterms:modified xsi:type="dcterms:W3CDTF">2026-10-07T04:13:00Z</dcterms:modified>
</cp:coreProperties>
</file>