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Camera On Presentation Plan for the LoRA Rank Ablation</w:t>
      </w:r>
    </w:p>
    <w:p>
      <w:pPr>
        <w:spacing w:after="200"/>
      </w:pPr>
      <w:r>
        <w:rPr>
          <w:b/>
          <w:sz w:val="22"/>
        </w:rPr>
        <w:t>An 8 to 10 minute outline for Dr Solberg and Marcus Adeyemi</w:t>
      </w:r>
    </w:p>
    <w:p>
      <w:pPr>
        <w:pStyle w:val="Heading1"/>
      </w:pPr>
      <w:r>
        <w:t>Presentation objective</w:t>
      </w:r>
    </w:p>
    <w:p>
      <w:r>
        <w:t>Explain the controlled question, show the reproducibility package, state the finding without overstating it, and connect the retained evidence to Annex IV, NIST AI RMF, and ISO/IEC 42001. Keep your face visible throughout. Use these notes as prompts rather than reading them verbatim.</w:t>
      </w:r>
    </w:p>
    <w:p>
      <w:pPr>
        <w:pStyle w:val="Heading1"/>
      </w:pPr>
      <w:r>
        <w:t>Run of show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152"/>
            <w:shd w:fill="17365D"/>
            <w:tcMar>
              <w:top w:w="85" w:type="dxa"/>
              <w:start w:w="95" w:type="dxa"/>
              <w:bottom w:w="85" w:type="dxa"/>
              <w:end w:w="95" w:type="dxa"/>
            </w:tcMar>
            <w:vAlign w:val="center"/>
          </w:tcPr>
          <w:p>
            <w:pPr>
              <w:jc w:val="center"/>
            </w:pPr>
            <w:r>
              <w:rPr>
                <w:b/>
                <w:color w:val="FFFFFF"/>
                <w:sz w:val="16"/>
              </w:rPr>
              <w:t>Time</w:t>
            </w:r>
          </w:p>
        </w:tc>
        <w:tc>
          <w:tcPr>
            <w:tcW w:type="dxa" w:w="2232"/>
            <w:shd w:fill="17365D"/>
            <w:tcMar>
              <w:top w:w="85" w:type="dxa"/>
              <w:start w:w="95" w:type="dxa"/>
              <w:bottom w:w="85" w:type="dxa"/>
              <w:end w:w="95" w:type="dxa"/>
            </w:tcMar>
            <w:vAlign w:val="center"/>
          </w:tcPr>
          <w:p>
            <w:pPr>
              <w:jc w:val="center"/>
            </w:pPr>
            <w:r>
              <w:rPr>
                <w:b/>
                <w:color w:val="FFFFFF"/>
                <w:sz w:val="16"/>
              </w:rPr>
              <w:t>Screen</w:t>
            </w:r>
          </w:p>
        </w:tc>
        <w:tc>
          <w:tcPr>
            <w:tcW w:type="dxa" w:w="6480"/>
            <w:shd w:fill="17365D"/>
            <w:tcMar>
              <w:top w:w="85" w:type="dxa"/>
              <w:start w:w="95" w:type="dxa"/>
              <w:bottom w:w="85" w:type="dxa"/>
              <w:end w:w="95" w:type="dxa"/>
            </w:tcMar>
            <w:vAlign w:val="center"/>
          </w:tcPr>
          <w:p>
            <w:pPr>
              <w:jc w:val="center"/>
            </w:pPr>
            <w:r>
              <w:rPr>
                <w:b/>
                <w:color w:val="FFFFFF"/>
                <w:sz w:val="16"/>
              </w:rPr>
              <w:t>Point to make</w:t>
            </w:r>
          </w:p>
        </w:tc>
      </w:tr>
      <w:tr>
        <w:tc>
          <w:tcPr>
            <w:tcW w:type="dxa" w:w="1152"/>
            <w:tcMar>
              <w:top w:w="85" w:type="dxa"/>
              <w:start w:w="95" w:type="dxa"/>
              <w:bottom w:w="85" w:type="dxa"/>
              <w:end w:w="95" w:type="dxa"/>
            </w:tcMar>
            <w:vAlign w:val="center"/>
          </w:tcPr>
          <w:p>
            <w:pPr>
              <w:jc w:val="left"/>
            </w:pPr>
            <w:r>
              <w:rPr>
                <w:sz w:val="16"/>
              </w:rPr>
              <w:t>0:00–0:45</w:t>
            </w:r>
          </w:p>
        </w:tc>
        <w:tc>
          <w:tcPr>
            <w:tcW w:type="dxa" w:w="2232"/>
            <w:tcMar>
              <w:top w:w="85" w:type="dxa"/>
              <w:start w:w="95" w:type="dxa"/>
              <w:bottom w:w="85" w:type="dxa"/>
              <w:end w:w="95" w:type="dxa"/>
            </w:tcMar>
            <w:vAlign w:val="center"/>
          </w:tcPr>
          <w:p>
            <w:pPr>
              <w:jc w:val="center"/>
            </w:pPr>
            <w:r>
              <w:rPr>
                <w:sz w:val="16"/>
              </w:rPr>
              <w:t>Title and camera</w:t>
            </w:r>
          </w:p>
        </w:tc>
        <w:tc>
          <w:tcPr>
            <w:tcW w:type="dxa" w:w="6480"/>
            <w:tcMar>
              <w:top w:w="85" w:type="dxa"/>
              <w:start w:w="95" w:type="dxa"/>
              <w:bottom w:w="85" w:type="dxa"/>
              <w:end w:w="95" w:type="dxa"/>
            </w:tcMar>
            <w:vAlign w:val="center"/>
          </w:tcPr>
          <w:p>
            <w:pPr>
              <w:jc w:val="center"/>
            </w:pPr>
            <w:r>
              <w:rPr>
                <w:sz w:val="16"/>
              </w:rPr>
              <w:t>Name the decision: whether LoRA rank 4, 8, or 16 earns a release change.</w:t>
            </w:r>
          </w:p>
        </w:tc>
      </w:tr>
      <w:tr>
        <w:tc>
          <w:tcPr>
            <w:tcW w:type="dxa" w:w="1152"/>
            <w:tcMar>
              <w:top w:w="85" w:type="dxa"/>
              <w:start w:w="95" w:type="dxa"/>
              <w:bottom w:w="85" w:type="dxa"/>
              <w:end w:w="95" w:type="dxa"/>
            </w:tcMar>
            <w:shd w:fill="EAF1F8"/>
            <w:vAlign w:val="center"/>
          </w:tcPr>
          <w:p>
            <w:pPr>
              <w:jc w:val="left"/>
            </w:pPr>
            <w:r>
              <w:rPr>
                <w:sz w:val="16"/>
              </w:rPr>
              <w:t>0:45–1:40</w:t>
            </w:r>
          </w:p>
        </w:tc>
        <w:tc>
          <w:tcPr>
            <w:tcW w:type="dxa" w:w="2232"/>
            <w:tcMar>
              <w:top w:w="85" w:type="dxa"/>
              <w:start w:w="95" w:type="dxa"/>
              <w:bottom w:w="85" w:type="dxa"/>
              <w:end w:w="95" w:type="dxa"/>
            </w:tcMar>
            <w:shd w:fill="EAF1F8"/>
            <w:vAlign w:val="center"/>
          </w:tcPr>
          <w:p>
            <w:pPr>
              <w:jc w:val="center"/>
            </w:pPr>
            <w:r>
              <w:rPr>
                <w:sz w:val="16"/>
              </w:rPr>
              <w:t>Pre-registration</w:t>
            </w:r>
          </w:p>
        </w:tc>
        <w:tc>
          <w:tcPr>
            <w:tcW w:type="dxa" w:w="6480"/>
            <w:tcMar>
              <w:top w:w="85" w:type="dxa"/>
              <w:start w:w="95" w:type="dxa"/>
              <w:bottom w:w="85" w:type="dxa"/>
              <w:end w:w="95" w:type="dxa"/>
            </w:tcMar>
            <w:shd w:fill="EAF1F8"/>
            <w:vAlign w:val="center"/>
          </w:tcPr>
          <w:p>
            <w:pPr>
              <w:jc w:val="center"/>
            </w:pPr>
            <w:r>
              <w:rPr>
                <w:sz w:val="16"/>
              </w:rPr>
              <w:t>Show the single changed factor, fixed controls, five paired seeds, and decision rule.</w:t>
            </w:r>
          </w:p>
        </w:tc>
      </w:tr>
      <w:tr>
        <w:tc>
          <w:tcPr>
            <w:tcW w:type="dxa" w:w="1152"/>
            <w:tcMar>
              <w:top w:w="85" w:type="dxa"/>
              <w:start w:w="95" w:type="dxa"/>
              <w:bottom w:w="85" w:type="dxa"/>
              <w:end w:w="95" w:type="dxa"/>
            </w:tcMar>
            <w:vAlign w:val="center"/>
          </w:tcPr>
          <w:p>
            <w:pPr>
              <w:jc w:val="left"/>
            </w:pPr>
            <w:r>
              <w:rPr>
                <w:sz w:val="16"/>
              </w:rPr>
              <w:t>1:40–2:35</w:t>
            </w:r>
          </w:p>
        </w:tc>
        <w:tc>
          <w:tcPr>
            <w:tcW w:type="dxa" w:w="2232"/>
            <w:tcMar>
              <w:top w:w="85" w:type="dxa"/>
              <w:start w:w="95" w:type="dxa"/>
              <w:bottom w:w="85" w:type="dxa"/>
              <w:end w:w="95" w:type="dxa"/>
            </w:tcMar>
            <w:vAlign w:val="center"/>
          </w:tcPr>
          <w:p>
            <w:pPr>
              <w:jc w:val="center"/>
            </w:pPr>
            <w:r>
              <w:rPr>
                <w:sz w:val="16"/>
              </w:rPr>
              <w:t>Data metadata and generator</w:t>
            </w:r>
          </w:p>
        </w:tc>
        <w:tc>
          <w:tcPr>
            <w:tcW w:type="dxa" w:w="6480"/>
            <w:tcMar>
              <w:top w:w="85" w:type="dxa"/>
              <w:start w:w="95" w:type="dxa"/>
              <w:bottom w:w="85" w:type="dxa"/>
              <w:end w:w="95" w:type="dxa"/>
            </w:tcMar>
            <w:vAlign w:val="center"/>
          </w:tcPr>
          <w:p>
            <w:pPr>
              <w:jc w:val="center"/>
            </w:pPr>
            <w:r>
              <w:rPr>
                <w:sz w:val="16"/>
              </w:rPr>
              <w:t>Explain four synthetic cooperatives, chronological split, checksum, and representativeness limit.</w:t>
            </w:r>
          </w:p>
        </w:tc>
      </w:tr>
      <w:tr>
        <w:tc>
          <w:tcPr>
            <w:tcW w:type="dxa" w:w="1152"/>
            <w:tcMar>
              <w:top w:w="85" w:type="dxa"/>
              <w:start w:w="95" w:type="dxa"/>
              <w:bottom w:w="85" w:type="dxa"/>
              <w:end w:w="95" w:type="dxa"/>
            </w:tcMar>
            <w:shd w:fill="EAF1F8"/>
            <w:vAlign w:val="center"/>
          </w:tcPr>
          <w:p>
            <w:pPr>
              <w:jc w:val="left"/>
            </w:pPr>
            <w:r>
              <w:rPr>
                <w:sz w:val="16"/>
              </w:rPr>
              <w:t>2:35–3:30</w:t>
            </w:r>
          </w:p>
        </w:tc>
        <w:tc>
          <w:tcPr>
            <w:tcW w:type="dxa" w:w="2232"/>
            <w:tcMar>
              <w:top w:w="85" w:type="dxa"/>
              <w:start w:w="95" w:type="dxa"/>
              <w:bottom w:w="85" w:type="dxa"/>
              <w:end w:w="95" w:type="dxa"/>
            </w:tcMar>
            <w:shd w:fill="EAF1F8"/>
            <w:vAlign w:val="center"/>
          </w:tcPr>
          <w:p>
            <w:pPr>
              <w:jc w:val="center"/>
            </w:pPr>
            <w:r>
              <w:rPr>
                <w:sz w:val="16"/>
              </w:rPr>
              <w:t>Configuration and source tree</w:t>
            </w:r>
          </w:p>
        </w:tc>
        <w:tc>
          <w:tcPr>
            <w:tcW w:type="dxa" w:w="6480"/>
            <w:tcMar>
              <w:top w:w="85" w:type="dxa"/>
              <w:start w:w="95" w:type="dxa"/>
              <w:bottom w:w="85" w:type="dxa"/>
              <w:end w:w="95" w:type="dxa"/>
            </w:tcMar>
            <w:shd w:fill="EAF1F8"/>
            <w:vAlign w:val="center"/>
          </w:tcPr>
          <w:p>
            <w:pPr>
              <w:jc w:val="center"/>
            </w:pPr>
            <w:r>
              <w:rPr>
                <w:sz w:val="16"/>
              </w:rPr>
              <w:t>Show the shared backbone, frozen adapters, q/v targets, seeded entry point, and captured environment.</w:t>
            </w:r>
          </w:p>
        </w:tc>
      </w:tr>
      <w:tr>
        <w:tc>
          <w:tcPr>
            <w:tcW w:type="dxa" w:w="1152"/>
            <w:tcMar>
              <w:top w:w="85" w:type="dxa"/>
              <w:start w:w="95" w:type="dxa"/>
              <w:bottom w:w="85" w:type="dxa"/>
              <w:end w:w="95" w:type="dxa"/>
            </w:tcMar>
            <w:vAlign w:val="center"/>
          </w:tcPr>
          <w:p>
            <w:pPr>
              <w:jc w:val="left"/>
            </w:pPr>
            <w:r>
              <w:rPr>
                <w:sz w:val="16"/>
              </w:rPr>
              <w:t>3:30–5:10</w:t>
            </w:r>
          </w:p>
        </w:tc>
        <w:tc>
          <w:tcPr>
            <w:tcW w:type="dxa" w:w="2232"/>
            <w:tcMar>
              <w:top w:w="85" w:type="dxa"/>
              <w:start w:w="95" w:type="dxa"/>
              <w:bottom w:w="85" w:type="dxa"/>
              <w:end w:w="95" w:type="dxa"/>
            </w:tcMar>
            <w:vAlign w:val="center"/>
          </w:tcPr>
          <w:p>
            <w:pPr>
              <w:jc w:val="center"/>
            </w:pPr>
            <w:r>
              <w:rPr>
                <w:sz w:val="16"/>
              </w:rPr>
              <w:t>Seed-level plot</w:t>
            </w:r>
          </w:p>
        </w:tc>
        <w:tc>
          <w:tcPr>
            <w:tcW w:type="dxa" w:w="6480"/>
            <w:tcMar>
              <w:top w:w="85" w:type="dxa"/>
              <w:start w:w="95" w:type="dxa"/>
              <w:bottom w:w="85" w:type="dxa"/>
              <w:end w:w="95" w:type="dxa"/>
            </w:tcMar>
            <w:vAlign w:val="center"/>
          </w:tcPr>
          <w:p>
            <w:pPr>
              <w:jc w:val="center"/>
            </w:pPr>
            <w:r>
              <w:rPr>
                <w:sz w:val="16"/>
              </w:rPr>
              <w:t>State the means and overlapping ranges. Say plainly that no accuracy winner was established.</w:t>
            </w:r>
          </w:p>
        </w:tc>
      </w:tr>
      <w:tr>
        <w:tc>
          <w:tcPr>
            <w:tcW w:type="dxa" w:w="1152"/>
            <w:tcMar>
              <w:top w:w="85" w:type="dxa"/>
              <w:start w:w="95" w:type="dxa"/>
              <w:bottom w:w="85" w:type="dxa"/>
              <w:end w:w="95" w:type="dxa"/>
            </w:tcMar>
            <w:shd w:fill="EAF1F8"/>
            <w:vAlign w:val="center"/>
          </w:tcPr>
          <w:p>
            <w:pPr>
              <w:jc w:val="left"/>
            </w:pPr>
            <w:r>
              <w:rPr>
                <w:sz w:val="16"/>
              </w:rPr>
              <w:t>5:10–6:05</w:t>
            </w:r>
          </w:p>
        </w:tc>
        <w:tc>
          <w:tcPr>
            <w:tcW w:type="dxa" w:w="2232"/>
            <w:tcMar>
              <w:top w:w="85" w:type="dxa"/>
              <w:start w:w="95" w:type="dxa"/>
              <w:bottom w:w="85" w:type="dxa"/>
              <w:end w:w="95" w:type="dxa"/>
            </w:tcMar>
            <w:shd w:fill="EAF1F8"/>
            <w:vAlign w:val="center"/>
          </w:tcPr>
          <w:p>
            <w:pPr>
              <w:jc w:val="center"/>
            </w:pPr>
            <w:r>
              <w:rPr>
                <w:sz w:val="16"/>
              </w:rPr>
              <w:t>Summary table</w:t>
            </w:r>
          </w:p>
        </w:tc>
        <w:tc>
          <w:tcPr>
            <w:tcW w:type="dxa" w:w="6480"/>
            <w:tcMar>
              <w:top w:w="85" w:type="dxa"/>
              <w:start w:w="95" w:type="dxa"/>
              <w:bottom w:w="85" w:type="dxa"/>
              <w:end w:w="95" w:type="dxa"/>
            </w:tcMar>
            <w:shd w:fill="EAF1F8"/>
            <w:vAlign w:val="center"/>
          </w:tcPr>
          <w:p>
            <w:pPr>
              <w:jc w:val="center"/>
            </w:pPr>
            <w:r>
              <w:rPr>
                <w:sz w:val="16"/>
              </w:rPr>
              <w:t>Compare parameters, memory, and time. Recommend rank 4 as the efficiency choice.</w:t>
            </w:r>
          </w:p>
        </w:tc>
      </w:tr>
      <w:tr>
        <w:tc>
          <w:tcPr>
            <w:tcW w:type="dxa" w:w="1152"/>
            <w:tcMar>
              <w:top w:w="85" w:type="dxa"/>
              <w:start w:w="95" w:type="dxa"/>
              <w:bottom w:w="85" w:type="dxa"/>
              <w:end w:w="95" w:type="dxa"/>
            </w:tcMar>
            <w:vAlign w:val="center"/>
          </w:tcPr>
          <w:p>
            <w:pPr>
              <w:jc w:val="left"/>
            </w:pPr>
            <w:r>
              <w:rPr>
                <w:sz w:val="16"/>
              </w:rPr>
              <w:t>6:05–7:10</w:t>
            </w:r>
          </w:p>
        </w:tc>
        <w:tc>
          <w:tcPr>
            <w:tcW w:type="dxa" w:w="2232"/>
            <w:tcMar>
              <w:top w:w="85" w:type="dxa"/>
              <w:start w:w="95" w:type="dxa"/>
              <w:bottom w:w="85" w:type="dxa"/>
              <w:end w:w="95" w:type="dxa"/>
            </w:tcMar>
            <w:vAlign w:val="center"/>
          </w:tcPr>
          <w:p>
            <w:pPr>
              <w:jc w:val="center"/>
            </w:pPr>
            <w:r>
              <w:rPr>
                <w:sz w:val="16"/>
              </w:rPr>
              <w:t>Annex IV document</w:t>
            </w:r>
          </w:p>
        </w:tc>
        <w:tc>
          <w:tcPr>
            <w:tcW w:type="dxa" w:w="6480"/>
            <w:tcMar>
              <w:top w:w="85" w:type="dxa"/>
              <w:start w:w="95" w:type="dxa"/>
              <w:bottom w:w="85" w:type="dxa"/>
              <w:end w:w="95" w:type="dxa"/>
            </w:tcMar>
            <w:vAlign w:val="center"/>
          </w:tcPr>
          <w:p>
            <w:pPr>
              <w:jc w:val="center"/>
            </w:pPr>
            <w:r>
              <w:rPr>
                <w:sz w:val="16"/>
              </w:rPr>
              <w:t>Show how purpose, data, methods, tests, limits, risks, and monitoring trace to artifacts.</w:t>
            </w:r>
          </w:p>
        </w:tc>
      </w:tr>
      <w:tr>
        <w:tc>
          <w:tcPr>
            <w:tcW w:type="dxa" w:w="1152"/>
            <w:tcMar>
              <w:top w:w="85" w:type="dxa"/>
              <w:start w:w="95" w:type="dxa"/>
              <w:bottom w:w="85" w:type="dxa"/>
              <w:end w:w="95" w:type="dxa"/>
            </w:tcMar>
            <w:shd w:fill="EAF1F8"/>
            <w:vAlign w:val="center"/>
          </w:tcPr>
          <w:p>
            <w:pPr>
              <w:jc w:val="left"/>
            </w:pPr>
            <w:r>
              <w:rPr>
                <w:sz w:val="16"/>
              </w:rPr>
              <w:t>7:10–8:10</w:t>
            </w:r>
          </w:p>
        </w:tc>
        <w:tc>
          <w:tcPr>
            <w:tcW w:type="dxa" w:w="2232"/>
            <w:tcMar>
              <w:top w:w="85" w:type="dxa"/>
              <w:start w:w="95" w:type="dxa"/>
              <w:bottom w:w="85" w:type="dxa"/>
              <w:end w:w="95" w:type="dxa"/>
            </w:tcMar>
            <w:shd w:fill="EAF1F8"/>
            <w:vAlign w:val="center"/>
          </w:tcPr>
          <w:p>
            <w:pPr>
              <w:jc w:val="center"/>
            </w:pPr>
            <w:r>
              <w:rPr>
                <w:sz w:val="16"/>
              </w:rPr>
              <w:t>Limitations</w:t>
            </w:r>
          </w:p>
        </w:tc>
        <w:tc>
          <w:tcPr>
            <w:tcW w:type="dxa" w:w="6480"/>
            <w:tcMar>
              <w:top w:w="85" w:type="dxa"/>
              <w:start w:w="95" w:type="dxa"/>
              <w:bottom w:w="85" w:type="dxa"/>
              <w:end w:w="95" w:type="dxa"/>
            </w:tcMar>
            <w:shd w:fill="EAF1F8"/>
            <w:vAlign w:val="center"/>
          </w:tcPr>
          <w:p>
            <w:pPr>
              <w:jc w:val="center"/>
            </w:pPr>
            <w:r>
              <w:rPr>
                <w:sz w:val="16"/>
              </w:rPr>
              <w:t>Name what the study cannot conclude and the follow-up evidence required.</w:t>
            </w:r>
          </w:p>
        </w:tc>
      </w:tr>
      <w:tr>
        <w:tc>
          <w:tcPr>
            <w:tcW w:type="dxa" w:w="1152"/>
            <w:tcMar>
              <w:top w:w="85" w:type="dxa"/>
              <w:start w:w="95" w:type="dxa"/>
              <w:bottom w:w="85" w:type="dxa"/>
              <w:end w:w="95" w:type="dxa"/>
            </w:tcMar>
            <w:vAlign w:val="center"/>
          </w:tcPr>
          <w:p>
            <w:pPr>
              <w:jc w:val="left"/>
            </w:pPr>
            <w:r>
              <w:rPr>
                <w:sz w:val="16"/>
              </w:rPr>
              <w:t>8:10–8:50</w:t>
            </w:r>
          </w:p>
        </w:tc>
        <w:tc>
          <w:tcPr>
            <w:tcW w:type="dxa" w:w="2232"/>
            <w:tcMar>
              <w:top w:w="85" w:type="dxa"/>
              <w:start w:w="95" w:type="dxa"/>
              <w:bottom w:w="85" w:type="dxa"/>
              <w:end w:w="95" w:type="dxa"/>
            </w:tcMar>
            <w:vAlign w:val="center"/>
          </w:tcPr>
          <w:p>
            <w:pPr>
              <w:jc w:val="center"/>
            </w:pPr>
            <w:r>
              <w:rPr>
                <w:sz w:val="16"/>
              </w:rPr>
              <w:t>Closing camera view</w:t>
            </w:r>
          </w:p>
        </w:tc>
        <w:tc>
          <w:tcPr>
            <w:tcW w:type="dxa" w:w="6480"/>
            <w:tcMar>
              <w:top w:w="85" w:type="dxa"/>
              <w:start w:w="95" w:type="dxa"/>
              <w:bottom w:w="85" w:type="dxa"/>
              <w:end w:w="95" w:type="dxa"/>
            </w:tcMar>
            <w:vAlign w:val="center"/>
          </w:tcPr>
          <w:p>
            <w:pPr>
              <w:jc w:val="center"/>
            </w:pPr>
            <w:r>
              <w:rPr>
                <w:sz w:val="16"/>
              </w:rPr>
              <w:t>Give the release recommendation and invite questions.</w:t>
            </w:r>
          </w:p>
        </w:tc>
      </w:tr>
    </w:tbl>
    <w:p>
      <w:pPr>
        <w:spacing w:after="0"/>
      </w:pPr>
    </w:p>
    <w:p>
      <w:pPr>
        <w:pStyle w:val="Heading1"/>
      </w:pPr>
      <w:r>
        <w:t>Opening in your own words</w:t>
      </w:r>
    </w:p>
    <w:p>
      <w:r>
        <w:t>Start with the decision, not the implementation. Tell Dr Solberg that higher LoRA rank did not produce an improvement that exceeded seed noise. Tell Marcus that every claim is tied to a runnable artifact. Then state that you recommend rank 4 for continued research because it is the smallest tested adapter and does not show a credible accuracy penalty.</w:t>
      </w:r>
    </w:p>
    <w:p>
      <w:r>
        <w:br w:type="page"/>
      </w:r>
    </w:p>
    <w:p>
      <w:pPr>
        <w:pStyle w:val="Heading1"/>
      </w:pPr>
      <w:r>
        <w:t>Talking points by evidence screen</w:t>
      </w:r>
    </w:p>
    <w:p>
      <w:pPr>
        <w:pStyle w:val="Heading2"/>
      </w:pPr>
      <w:r>
        <w:t>Pre-registration and controls</w:t>
      </w:r>
    </w:p>
    <w:p>
      <w:pPr>
        <w:pStyle w:val="ListBullet"/>
        <w:spacing w:after="60"/>
      </w:pPr>
      <w:r>
        <w:t>Only rank changed across arms. The dataset, split, shared checkpoint, optimizer, epochs, LoRA targets, and hardware session stayed fixed.</w:t>
      </w:r>
    </w:p>
    <w:p>
      <w:pPr>
        <w:pStyle w:val="ListBullet"/>
        <w:spacing w:after="60"/>
      </w:pPr>
      <w:r>
        <w:t>Five seeds were chosen before confirmatory execution using a separate timing benchmark and the 144-minute cutoff.</w:t>
      </w:r>
    </w:p>
    <w:p>
      <w:pPr>
        <w:pStyle w:val="ListBullet"/>
        <w:spacing w:after="60"/>
      </w:pPr>
      <w:r>
        <w:t>The benchmark used generation seed 62708 and seed 909, neither of which appears in the confirmatory table.</w:t>
      </w:r>
    </w:p>
    <w:p>
      <w:pPr>
        <w:pStyle w:val="Heading2"/>
      </w:pPr>
      <w:r>
        <w:t>Data and reproducibility</w:t>
      </w:r>
    </w:p>
    <w:p>
      <w:pPr>
        <w:pStyle w:val="ListBullet"/>
        <w:spacing w:after="60"/>
      </w:pPr>
      <w:r>
        <w:t>The generator creates programmed seasonality, weather response, trend, and autocorrelated noise. No customer records are present.</w:t>
      </w:r>
    </w:p>
    <w:p>
      <w:pPr>
        <w:pStyle w:val="ListBullet"/>
        <w:spacing w:after="60"/>
      </w:pPr>
      <w:r>
        <w:t>The target split is chronological to reduce future-to-past leakage.</w:t>
      </w:r>
    </w:p>
    <w:p>
      <w:pPr>
        <w:pStyle w:val="ListBullet"/>
        <w:spacing w:after="60"/>
      </w:pPr>
      <w:r>
        <w:t>The dataset checksum, exact environment, configuration, checkpoint, seed JSON files, CSVs, and plot are retained.</w:t>
      </w:r>
    </w:p>
    <w:p>
      <w:pPr>
        <w:pStyle w:val="Heading2"/>
      </w:pPr>
      <w:r>
        <w:t>Results and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864"/>
            <w:shd w:fill="17365D"/>
            <w:tcMar>
              <w:top w:w="85" w:type="dxa"/>
              <w:start w:w="95" w:type="dxa"/>
              <w:bottom w:w="85" w:type="dxa"/>
              <w:end w:w="95" w:type="dxa"/>
            </w:tcMar>
            <w:vAlign w:val="center"/>
          </w:tcPr>
          <w:p>
            <w:pPr>
              <w:jc w:val="center"/>
            </w:pPr>
            <w:r>
              <w:rPr>
                <w:b/>
                <w:color w:val="FFFFFF"/>
                <w:sz w:val="17"/>
              </w:rPr>
              <w:t>Rank</w:t>
            </w:r>
          </w:p>
        </w:tc>
        <w:tc>
          <w:tcPr>
            <w:tcW w:type="dxa" w:w="2232"/>
            <w:shd w:fill="17365D"/>
            <w:tcMar>
              <w:top w:w="85" w:type="dxa"/>
              <w:start w:w="95" w:type="dxa"/>
              <w:bottom w:w="85" w:type="dxa"/>
              <w:end w:w="95" w:type="dxa"/>
            </w:tcMar>
            <w:vAlign w:val="center"/>
          </w:tcPr>
          <w:p>
            <w:pPr>
              <w:jc w:val="center"/>
            </w:pPr>
            <w:r>
              <w:rPr>
                <w:b/>
                <w:color w:val="FFFFFF"/>
                <w:sz w:val="17"/>
              </w:rPr>
              <w:t>Mean MAPE ± SD</w:t>
            </w:r>
          </w:p>
        </w:tc>
        <w:tc>
          <w:tcPr>
            <w:tcW w:type="dxa" w:w="2232"/>
            <w:shd w:fill="17365D"/>
            <w:tcMar>
              <w:top w:w="85" w:type="dxa"/>
              <w:start w:w="95" w:type="dxa"/>
              <w:bottom w:w="85" w:type="dxa"/>
              <w:end w:w="95" w:type="dxa"/>
            </w:tcMar>
            <w:vAlign w:val="center"/>
          </w:tcPr>
          <w:p>
            <w:pPr>
              <w:jc w:val="center"/>
            </w:pPr>
            <w:r>
              <w:rPr>
                <w:b/>
                <w:color w:val="FFFFFF"/>
                <w:sz w:val="17"/>
              </w:rPr>
              <w:t>Range</w:t>
            </w:r>
          </w:p>
        </w:tc>
        <w:tc>
          <w:tcPr>
            <w:tcW w:type="dxa" w:w="1584"/>
            <w:shd w:fill="17365D"/>
            <w:tcMar>
              <w:top w:w="85" w:type="dxa"/>
              <w:start w:w="95" w:type="dxa"/>
              <w:bottom w:w="85" w:type="dxa"/>
              <w:end w:w="95" w:type="dxa"/>
            </w:tcMar>
            <w:vAlign w:val="center"/>
          </w:tcPr>
          <w:p>
            <w:pPr>
              <w:jc w:val="center"/>
            </w:pPr>
            <w:r>
              <w:rPr>
                <w:b/>
                <w:color w:val="FFFFFF"/>
                <w:sz w:val="17"/>
              </w:rPr>
              <w:t>Parameters</w:t>
            </w:r>
          </w:p>
        </w:tc>
        <w:tc>
          <w:tcPr>
            <w:tcW w:type="dxa" w:w="1440"/>
            <w:shd w:fill="17365D"/>
            <w:tcMar>
              <w:top w:w="85" w:type="dxa"/>
              <w:start w:w="95" w:type="dxa"/>
              <w:bottom w:w="85" w:type="dxa"/>
              <w:end w:w="95" w:type="dxa"/>
            </w:tcMar>
            <w:vAlign w:val="center"/>
          </w:tcPr>
          <w:p>
            <w:pPr>
              <w:jc w:val="center"/>
            </w:pPr>
            <w:r>
              <w:rPr>
                <w:b/>
                <w:color w:val="FFFFFF"/>
                <w:sz w:val="17"/>
              </w:rPr>
              <w:t>Peak MB</w:t>
            </w:r>
          </w:p>
        </w:tc>
      </w:tr>
      <w:tr>
        <w:tc>
          <w:tcPr>
            <w:tcW w:type="dxa" w:w="864"/>
            <w:tcMar>
              <w:top w:w="85" w:type="dxa"/>
              <w:start w:w="95" w:type="dxa"/>
              <w:bottom w:w="85" w:type="dxa"/>
              <w:end w:w="95" w:type="dxa"/>
            </w:tcMar>
            <w:vAlign w:val="center"/>
          </w:tcPr>
          <w:p>
            <w:pPr>
              <w:jc w:val="left"/>
            </w:pPr>
            <w:r>
              <w:rPr>
                <w:sz w:val="17"/>
              </w:rPr>
              <w:t>4</w:t>
            </w:r>
          </w:p>
        </w:tc>
        <w:tc>
          <w:tcPr>
            <w:tcW w:type="dxa" w:w="2232"/>
            <w:tcMar>
              <w:top w:w="85" w:type="dxa"/>
              <w:start w:w="95" w:type="dxa"/>
              <w:bottom w:w="85" w:type="dxa"/>
              <w:end w:w="95" w:type="dxa"/>
            </w:tcMar>
            <w:vAlign w:val="center"/>
          </w:tcPr>
          <w:p>
            <w:pPr>
              <w:jc w:val="center"/>
            </w:pPr>
            <w:r>
              <w:rPr>
                <w:sz w:val="17"/>
              </w:rPr>
              <w:t>3.2396 ± 0.0381</w:t>
            </w:r>
          </w:p>
        </w:tc>
        <w:tc>
          <w:tcPr>
            <w:tcW w:type="dxa" w:w="2232"/>
            <w:tcMar>
              <w:top w:w="85" w:type="dxa"/>
              <w:start w:w="95" w:type="dxa"/>
              <w:bottom w:w="85" w:type="dxa"/>
              <w:end w:w="95" w:type="dxa"/>
            </w:tcMar>
            <w:vAlign w:val="center"/>
          </w:tcPr>
          <w:p>
            <w:pPr>
              <w:jc w:val="center"/>
            </w:pPr>
            <w:r>
              <w:rPr>
                <w:sz w:val="17"/>
              </w:rPr>
              <w:t>3.1860–3.2931</w:t>
            </w:r>
          </w:p>
        </w:tc>
        <w:tc>
          <w:tcPr>
            <w:tcW w:type="dxa" w:w="1584"/>
            <w:tcMar>
              <w:top w:w="85" w:type="dxa"/>
              <w:start w:w="95" w:type="dxa"/>
              <w:bottom w:w="85" w:type="dxa"/>
              <w:end w:w="95" w:type="dxa"/>
            </w:tcMar>
            <w:vAlign w:val="center"/>
          </w:tcPr>
          <w:p>
            <w:pPr>
              <w:jc w:val="center"/>
            </w:pPr>
            <w:r>
              <w:rPr>
                <w:sz w:val="17"/>
              </w:rPr>
              <w:t>2,048</w:t>
            </w:r>
          </w:p>
        </w:tc>
        <w:tc>
          <w:tcPr>
            <w:tcW w:type="dxa" w:w="1440"/>
            <w:tcMar>
              <w:top w:w="85" w:type="dxa"/>
              <w:start w:w="95" w:type="dxa"/>
              <w:bottom w:w="85" w:type="dxa"/>
              <w:end w:w="95" w:type="dxa"/>
            </w:tcMar>
            <w:vAlign w:val="center"/>
          </w:tcPr>
          <w:p>
            <w:pPr>
              <w:jc w:val="center"/>
            </w:pPr>
            <w:r>
              <w:rPr>
                <w:sz w:val="17"/>
              </w:rPr>
              <w:t>123.02</w:t>
            </w:r>
          </w:p>
        </w:tc>
      </w:tr>
      <w:tr>
        <w:tc>
          <w:tcPr>
            <w:tcW w:type="dxa" w:w="864"/>
            <w:tcMar>
              <w:top w:w="85" w:type="dxa"/>
              <w:start w:w="95" w:type="dxa"/>
              <w:bottom w:w="85" w:type="dxa"/>
              <w:end w:w="95" w:type="dxa"/>
            </w:tcMar>
            <w:shd w:fill="EAF1F8"/>
            <w:vAlign w:val="center"/>
          </w:tcPr>
          <w:p>
            <w:pPr>
              <w:jc w:val="left"/>
            </w:pPr>
            <w:r>
              <w:rPr>
                <w:sz w:val="17"/>
              </w:rPr>
              <w:t>8</w:t>
            </w:r>
          </w:p>
        </w:tc>
        <w:tc>
          <w:tcPr>
            <w:tcW w:type="dxa" w:w="2232"/>
            <w:tcMar>
              <w:top w:w="85" w:type="dxa"/>
              <w:start w:w="95" w:type="dxa"/>
              <w:bottom w:w="85" w:type="dxa"/>
              <w:end w:w="95" w:type="dxa"/>
            </w:tcMar>
            <w:shd w:fill="EAF1F8"/>
            <w:vAlign w:val="center"/>
          </w:tcPr>
          <w:p>
            <w:pPr>
              <w:jc w:val="center"/>
            </w:pPr>
            <w:r>
              <w:rPr>
                <w:sz w:val="17"/>
              </w:rPr>
              <w:t>3.2487 ± 0.0466</w:t>
            </w:r>
          </w:p>
        </w:tc>
        <w:tc>
          <w:tcPr>
            <w:tcW w:type="dxa" w:w="2232"/>
            <w:tcMar>
              <w:top w:w="85" w:type="dxa"/>
              <w:start w:w="95" w:type="dxa"/>
              <w:bottom w:w="85" w:type="dxa"/>
              <w:end w:w="95" w:type="dxa"/>
            </w:tcMar>
            <w:shd w:fill="EAF1F8"/>
            <w:vAlign w:val="center"/>
          </w:tcPr>
          <w:p>
            <w:pPr>
              <w:jc w:val="center"/>
            </w:pPr>
            <w:r>
              <w:rPr>
                <w:sz w:val="17"/>
              </w:rPr>
              <w:t>3.1854–3.3143</w:t>
            </w:r>
          </w:p>
        </w:tc>
        <w:tc>
          <w:tcPr>
            <w:tcW w:type="dxa" w:w="1584"/>
            <w:tcMar>
              <w:top w:w="85" w:type="dxa"/>
              <w:start w:w="95" w:type="dxa"/>
              <w:bottom w:w="85" w:type="dxa"/>
              <w:end w:w="95" w:type="dxa"/>
            </w:tcMar>
            <w:shd w:fill="EAF1F8"/>
            <w:vAlign w:val="center"/>
          </w:tcPr>
          <w:p>
            <w:pPr>
              <w:jc w:val="center"/>
            </w:pPr>
            <w:r>
              <w:rPr>
                <w:sz w:val="17"/>
              </w:rPr>
              <w:t>4,096</w:t>
            </w:r>
          </w:p>
        </w:tc>
        <w:tc>
          <w:tcPr>
            <w:tcW w:type="dxa" w:w="1440"/>
            <w:tcMar>
              <w:top w:w="85" w:type="dxa"/>
              <w:start w:w="95" w:type="dxa"/>
              <w:bottom w:w="85" w:type="dxa"/>
              <w:end w:w="95" w:type="dxa"/>
            </w:tcMar>
            <w:shd w:fill="EAF1F8"/>
            <w:vAlign w:val="center"/>
          </w:tcPr>
          <w:p>
            <w:pPr>
              <w:jc w:val="center"/>
            </w:pPr>
            <w:r>
              <w:rPr>
                <w:sz w:val="17"/>
              </w:rPr>
              <w:t>123.42</w:t>
            </w:r>
          </w:p>
        </w:tc>
      </w:tr>
      <w:tr>
        <w:tc>
          <w:tcPr>
            <w:tcW w:type="dxa" w:w="864"/>
            <w:tcMar>
              <w:top w:w="85" w:type="dxa"/>
              <w:start w:w="95" w:type="dxa"/>
              <w:bottom w:w="85" w:type="dxa"/>
              <w:end w:w="95" w:type="dxa"/>
            </w:tcMar>
            <w:vAlign w:val="center"/>
          </w:tcPr>
          <w:p>
            <w:pPr>
              <w:jc w:val="left"/>
            </w:pPr>
            <w:r>
              <w:rPr>
                <w:sz w:val="17"/>
              </w:rPr>
              <w:t>16</w:t>
            </w:r>
          </w:p>
        </w:tc>
        <w:tc>
          <w:tcPr>
            <w:tcW w:type="dxa" w:w="2232"/>
            <w:tcMar>
              <w:top w:w="85" w:type="dxa"/>
              <w:start w:w="95" w:type="dxa"/>
              <w:bottom w:w="85" w:type="dxa"/>
              <w:end w:w="95" w:type="dxa"/>
            </w:tcMar>
            <w:vAlign w:val="center"/>
          </w:tcPr>
          <w:p>
            <w:pPr>
              <w:jc w:val="center"/>
            </w:pPr>
            <w:r>
              <w:rPr>
                <w:sz w:val="17"/>
              </w:rPr>
              <w:t>3.2669 ± 0.0578</w:t>
            </w:r>
          </w:p>
        </w:tc>
        <w:tc>
          <w:tcPr>
            <w:tcW w:type="dxa" w:w="2232"/>
            <w:tcMar>
              <w:top w:w="85" w:type="dxa"/>
              <w:start w:w="95" w:type="dxa"/>
              <w:bottom w:w="85" w:type="dxa"/>
              <w:end w:w="95" w:type="dxa"/>
            </w:tcMar>
            <w:vAlign w:val="center"/>
          </w:tcPr>
          <w:p>
            <w:pPr>
              <w:jc w:val="center"/>
            </w:pPr>
            <w:r>
              <w:rPr>
                <w:sz w:val="17"/>
              </w:rPr>
              <w:t>3.1825–3.3333</w:t>
            </w:r>
          </w:p>
        </w:tc>
        <w:tc>
          <w:tcPr>
            <w:tcW w:type="dxa" w:w="1584"/>
            <w:tcMar>
              <w:top w:w="85" w:type="dxa"/>
              <w:start w:w="95" w:type="dxa"/>
              <w:bottom w:w="85" w:type="dxa"/>
              <w:end w:w="95" w:type="dxa"/>
            </w:tcMar>
            <w:vAlign w:val="center"/>
          </w:tcPr>
          <w:p>
            <w:pPr>
              <w:jc w:val="center"/>
            </w:pPr>
            <w:r>
              <w:rPr>
                <w:sz w:val="17"/>
              </w:rPr>
              <w:t>8,192</w:t>
            </w:r>
          </w:p>
        </w:tc>
        <w:tc>
          <w:tcPr>
            <w:tcW w:type="dxa" w:w="1440"/>
            <w:tcMar>
              <w:top w:w="85" w:type="dxa"/>
              <w:start w:w="95" w:type="dxa"/>
              <w:bottom w:w="85" w:type="dxa"/>
              <w:end w:w="95" w:type="dxa"/>
            </w:tcMar>
            <w:vAlign w:val="center"/>
          </w:tcPr>
          <w:p>
            <w:pPr>
              <w:jc w:val="center"/>
            </w:pPr>
            <w:r>
              <w:rPr>
                <w:sz w:val="17"/>
              </w:rPr>
              <w:t>124.21</w:t>
            </w:r>
          </w:p>
        </w:tc>
      </w:tr>
    </w:tbl>
    <w:p>
      <w:pPr>
        <w:spacing w:after="0"/>
      </w:pPr>
    </w:p>
    <w:p>
      <w:pPr>
        <w:pStyle w:val="ListBullet"/>
        <w:spacing w:after="60"/>
      </w:pPr>
      <w:r>
        <w:t>The rank 4 mean is lower, but the difference from rank 8 is 0.0092 MAPE points and from rank 16 is 0.0274 points.</w:t>
      </w:r>
    </w:p>
    <w:p>
      <w:pPr>
        <w:pStyle w:val="ListBullet"/>
        <w:spacing w:after="60"/>
      </w:pPr>
      <w:r>
        <w:t>Every min-max interval overlaps. Under the preregistered rule, the outcome is inconclusive on accuracy.</w:t>
      </w:r>
    </w:p>
    <w:p>
      <w:pPr>
        <w:pStyle w:val="ListBullet"/>
        <w:spacing w:after="60"/>
      </w:pPr>
      <w:r>
        <w:t>Rank 4 uses one-quarter of rank 16's trainable parameters. Memory differs by about 1.20 MB, and run times are effectively the same.</w:t>
      </w:r>
    </w:p>
    <w:p>
      <w:pPr>
        <w:pStyle w:val="Heading2"/>
      </w:pPr>
      <w:r>
        <w:t>Language to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3240"/>
            <w:shd w:fill="17365D"/>
            <w:tcMar>
              <w:top w:w="85" w:type="dxa"/>
              <w:start w:w="95" w:type="dxa"/>
              <w:bottom w:w="85" w:type="dxa"/>
              <w:end w:w="95" w:type="dxa"/>
            </w:tcMar>
            <w:vAlign w:val="center"/>
          </w:tcPr>
          <w:p>
            <w:pPr>
              <w:jc w:val="center"/>
            </w:pPr>
            <w:r>
              <w:rPr>
                <w:b/>
                <w:color w:val="FFFFFF"/>
                <w:sz w:val="16"/>
              </w:rPr>
              <w:t>Avoid</w:t>
            </w:r>
          </w:p>
        </w:tc>
        <w:tc>
          <w:tcPr>
            <w:tcW w:type="dxa" w:w="6624"/>
            <w:shd w:fill="17365D"/>
            <w:tcMar>
              <w:top w:w="85" w:type="dxa"/>
              <w:start w:w="95" w:type="dxa"/>
              <w:bottom w:w="85" w:type="dxa"/>
              <w:end w:w="95" w:type="dxa"/>
            </w:tcMar>
            <w:vAlign w:val="center"/>
          </w:tcPr>
          <w:p>
            <w:pPr>
              <w:jc w:val="center"/>
            </w:pPr>
            <w:r>
              <w:rPr>
                <w:b/>
                <w:color w:val="FFFFFF"/>
                <w:sz w:val="16"/>
              </w:rPr>
              <w:t>Use instead</w:t>
            </w:r>
          </w:p>
        </w:tc>
      </w:tr>
      <w:tr>
        <w:tc>
          <w:tcPr>
            <w:tcW w:type="dxa" w:w="3240"/>
            <w:tcMar>
              <w:top w:w="85" w:type="dxa"/>
              <w:start w:w="95" w:type="dxa"/>
              <w:bottom w:w="85" w:type="dxa"/>
              <w:end w:w="95" w:type="dxa"/>
            </w:tcMar>
            <w:vAlign w:val="center"/>
          </w:tcPr>
          <w:p>
            <w:pPr>
              <w:jc w:val="left"/>
            </w:pPr>
            <w:r>
              <w:rPr>
                <w:sz w:val="16"/>
              </w:rPr>
              <w:t>Rank 4 won</w:t>
            </w:r>
          </w:p>
        </w:tc>
        <w:tc>
          <w:tcPr>
            <w:tcW w:type="dxa" w:w="6624"/>
            <w:tcMar>
              <w:top w:w="85" w:type="dxa"/>
              <w:start w:w="95" w:type="dxa"/>
              <w:bottom w:w="85" w:type="dxa"/>
              <w:end w:w="95" w:type="dxa"/>
            </w:tcMar>
            <w:vAlign w:val="center"/>
          </w:tcPr>
          <w:p>
            <w:pPr>
              <w:jc w:val="center"/>
            </w:pPr>
            <w:r>
              <w:rPr>
                <w:sz w:val="16"/>
              </w:rPr>
              <w:t>Rank 4 had the lowest mean, but no rank separated from seed noise</w:t>
            </w:r>
          </w:p>
        </w:tc>
      </w:tr>
      <w:tr>
        <w:tc>
          <w:tcPr>
            <w:tcW w:type="dxa" w:w="3240"/>
            <w:tcMar>
              <w:top w:w="85" w:type="dxa"/>
              <w:start w:w="95" w:type="dxa"/>
              <w:bottom w:w="85" w:type="dxa"/>
              <w:end w:w="95" w:type="dxa"/>
            </w:tcMar>
            <w:shd w:fill="EAF1F8"/>
            <w:vAlign w:val="center"/>
          </w:tcPr>
          <w:p>
            <w:pPr>
              <w:jc w:val="left"/>
            </w:pPr>
            <w:r>
              <w:rPr>
                <w:sz w:val="16"/>
              </w:rPr>
              <w:t>Rank 16 is worse</w:t>
            </w:r>
          </w:p>
        </w:tc>
        <w:tc>
          <w:tcPr>
            <w:tcW w:type="dxa" w:w="6624"/>
            <w:tcMar>
              <w:top w:w="85" w:type="dxa"/>
              <w:start w:w="95" w:type="dxa"/>
              <w:bottom w:w="85" w:type="dxa"/>
              <w:end w:w="95" w:type="dxa"/>
            </w:tcMar>
            <w:shd w:fill="EAF1F8"/>
            <w:vAlign w:val="center"/>
          </w:tcPr>
          <w:p>
            <w:pPr>
              <w:jc w:val="center"/>
            </w:pPr>
            <w:r>
              <w:rPr>
                <w:sz w:val="16"/>
              </w:rPr>
              <w:t>Rank 16 added capacity without a demonstrated benefit in this configuration</w:t>
            </w:r>
          </w:p>
        </w:tc>
      </w:tr>
      <w:tr>
        <w:tc>
          <w:tcPr>
            <w:tcW w:type="dxa" w:w="3240"/>
            <w:tcMar>
              <w:top w:w="85" w:type="dxa"/>
              <w:start w:w="95" w:type="dxa"/>
              <w:bottom w:w="85" w:type="dxa"/>
              <w:end w:w="95" w:type="dxa"/>
            </w:tcMar>
            <w:vAlign w:val="center"/>
          </w:tcPr>
          <w:p>
            <w:pPr>
              <w:jc w:val="left"/>
            </w:pPr>
            <w:r>
              <w:rPr>
                <w:sz w:val="16"/>
              </w:rPr>
              <w:t>The model is production ready</w:t>
            </w:r>
          </w:p>
        </w:tc>
        <w:tc>
          <w:tcPr>
            <w:tcW w:type="dxa" w:w="6624"/>
            <w:tcMar>
              <w:top w:w="85" w:type="dxa"/>
              <w:start w:w="95" w:type="dxa"/>
              <w:bottom w:w="85" w:type="dxa"/>
              <w:end w:w="95" w:type="dxa"/>
            </w:tcMar>
            <w:vAlign w:val="center"/>
          </w:tcPr>
          <w:p>
            <w:pPr>
              <w:jc w:val="center"/>
            </w:pPr>
            <w:r>
              <w:rPr>
                <w:sz w:val="16"/>
              </w:rPr>
              <w:t>The package supports a controlled synthetic-data study only</w:t>
            </w:r>
          </w:p>
        </w:tc>
      </w:tr>
      <w:tr>
        <w:tc>
          <w:tcPr>
            <w:tcW w:type="dxa" w:w="3240"/>
            <w:tcMar>
              <w:top w:w="85" w:type="dxa"/>
              <w:start w:w="95" w:type="dxa"/>
              <w:bottom w:w="85" w:type="dxa"/>
              <w:end w:w="95" w:type="dxa"/>
            </w:tcMar>
            <w:shd w:fill="EAF1F8"/>
            <w:vAlign w:val="center"/>
          </w:tcPr>
          <w:p>
            <w:pPr>
              <w:jc w:val="left"/>
            </w:pPr>
            <w:r>
              <w:rPr>
                <w:sz w:val="16"/>
              </w:rPr>
              <w:t>The run is perfectly reproducible</w:t>
            </w:r>
          </w:p>
        </w:tc>
        <w:tc>
          <w:tcPr>
            <w:tcW w:type="dxa" w:w="6624"/>
            <w:tcMar>
              <w:top w:w="85" w:type="dxa"/>
              <w:start w:w="95" w:type="dxa"/>
              <w:bottom w:w="85" w:type="dxa"/>
              <w:end w:w="95" w:type="dxa"/>
            </w:tcMar>
            <w:shd w:fill="EAF1F8"/>
            <w:vAlign w:val="center"/>
          </w:tcPr>
          <w:p>
            <w:pPr>
              <w:jc w:val="center"/>
            </w:pPr>
            <w:r>
              <w:rPr>
                <w:sz w:val="16"/>
              </w:rPr>
              <w:t>The procedure is reproducible; bitwise identity across stacks is not guaranteed</w:t>
            </w:r>
          </w:p>
        </w:tc>
      </w:tr>
    </w:tbl>
    <w:p>
      <w:pPr>
        <w:spacing w:after="0"/>
      </w:pPr>
    </w:p>
    <w:p>
      <w:r>
        <w:br w:type="page"/>
      </w:r>
    </w:p>
    <w:p>
      <w:pPr>
        <w:pStyle w:val="Heading1"/>
      </w:pPr>
      <w:r>
        <w:t>Limits questions and recording checklist</w:t>
      </w:r>
    </w:p>
    <w:p>
      <w:pPr>
        <w:pStyle w:val="Heading2"/>
      </w:pPr>
      <w:r>
        <w:t>Limitations to state clearly</w:t>
      </w:r>
    </w:p>
    <w:p>
      <w:pPr>
        <w:pStyle w:val="ListBullet"/>
        <w:spacing w:after="60"/>
      </w:pPr>
      <w:r>
        <w:t>Synthetic data cannot establish performance on actual cooperative demand.</w:t>
      </w:r>
    </w:p>
    <w:p>
      <w:pPr>
        <w:pStyle w:val="ListBullet"/>
        <w:spacing w:after="60"/>
      </w:pPr>
      <w:r>
        <w:t>The conclusion applies to one small backbone, one six-hour horizon, one training budget, and one target regime.</w:t>
      </w:r>
    </w:p>
    <w:p>
      <w:pPr>
        <w:pStyle w:val="ListBullet"/>
        <w:spacing w:after="60"/>
      </w:pPr>
      <w:r>
        <w:t>Five seeds characterize visible variation but cannot resolve every small effect.</w:t>
      </w:r>
    </w:p>
    <w:p>
      <w:pPr>
        <w:pStyle w:val="ListBullet"/>
        <w:spacing w:after="60"/>
      </w:pPr>
      <w:r>
        <w:t>Cybersecurity, bias in real populations, operator interaction, and post-market behavior were not empirically assessed.</w:t>
      </w:r>
    </w:p>
    <w:p>
      <w:pPr>
        <w:pStyle w:val="Heading2"/>
      </w:pPr>
      <w:r>
        <w:t>Likely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3528"/>
            <w:shd w:fill="17365D"/>
            <w:tcMar>
              <w:top w:w="85" w:type="dxa"/>
              <w:start w:w="95" w:type="dxa"/>
              <w:bottom w:w="85" w:type="dxa"/>
              <w:end w:w="95" w:type="dxa"/>
            </w:tcMar>
            <w:vAlign w:val="center"/>
          </w:tcPr>
          <w:p>
            <w:pPr>
              <w:jc w:val="center"/>
            </w:pPr>
            <w:r>
              <w:rPr>
                <w:b/>
                <w:color w:val="FFFFFF"/>
                <w:sz w:val="16"/>
              </w:rPr>
              <w:t>Question</w:t>
            </w:r>
          </w:p>
        </w:tc>
        <w:tc>
          <w:tcPr>
            <w:tcW w:type="dxa" w:w="6336"/>
            <w:shd w:fill="17365D"/>
            <w:tcMar>
              <w:top w:w="85" w:type="dxa"/>
              <w:start w:w="95" w:type="dxa"/>
              <w:bottom w:w="85" w:type="dxa"/>
              <w:end w:w="95" w:type="dxa"/>
            </w:tcMar>
            <w:vAlign w:val="center"/>
          </w:tcPr>
          <w:p>
            <w:pPr>
              <w:jc w:val="center"/>
            </w:pPr>
            <w:r>
              <w:rPr>
                <w:b/>
                <w:color w:val="FFFFFF"/>
                <w:sz w:val="16"/>
              </w:rPr>
              <w:t>Answer anchor</w:t>
            </w:r>
          </w:p>
        </w:tc>
      </w:tr>
      <w:tr>
        <w:tc>
          <w:tcPr>
            <w:tcW w:type="dxa" w:w="3528"/>
            <w:tcMar>
              <w:top w:w="85" w:type="dxa"/>
              <w:start w:w="95" w:type="dxa"/>
              <w:bottom w:w="85" w:type="dxa"/>
              <w:end w:w="95" w:type="dxa"/>
            </w:tcMar>
            <w:vAlign w:val="center"/>
          </w:tcPr>
          <w:p>
            <w:pPr>
              <w:jc w:val="left"/>
            </w:pPr>
            <w:r>
              <w:rPr>
                <w:sz w:val="16"/>
              </w:rPr>
              <w:t>Why recommend rank 4 if it did not win?</w:t>
            </w:r>
          </w:p>
        </w:tc>
        <w:tc>
          <w:tcPr>
            <w:tcW w:type="dxa" w:w="6336"/>
            <w:tcMar>
              <w:top w:w="85" w:type="dxa"/>
              <w:start w:w="95" w:type="dxa"/>
              <w:bottom w:w="85" w:type="dxa"/>
              <w:end w:w="95" w:type="dxa"/>
            </w:tcMar>
            <w:vAlign w:val="center"/>
          </w:tcPr>
          <w:p>
            <w:pPr>
              <w:jc w:val="center"/>
            </w:pPr>
            <w:r>
              <w:rPr>
                <w:sz w:val="16"/>
              </w:rPr>
              <w:t>It is the smallest arm and no larger arm demonstrated a benefit beyond noise.</w:t>
            </w:r>
          </w:p>
        </w:tc>
      </w:tr>
      <w:tr>
        <w:tc>
          <w:tcPr>
            <w:tcW w:type="dxa" w:w="3528"/>
            <w:tcMar>
              <w:top w:w="85" w:type="dxa"/>
              <w:start w:w="95" w:type="dxa"/>
              <w:bottom w:w="85" w:type="dxa"/>
              <w:end w:w="95" w:type="dxa"/>
            </w:tcMar>
            <w:shd w:fill="EAF1F8"/>
            <w:vAlign w:val="center"/>
          </w:tcPr>
          <w:p>
            <w:pPr>
              <w:jc w:val="left"/>
            </w:pPr>
            <w:r>
              <w:rPr>
                <w:sz w:val="16"/>
              </w:rPr>
              <w:t>Why five seeds?</w:t>
            </w:r>
          </w:p>
        </w:tc>
        <w:tc>
          <w:tcPr>
            <w:tcW w:type="dxa" w:w="6336"/>
            <w:tcMar>
              <w:top w:w="85" w:type="dxa"/>
              <w:start w:w="95" w:type="dxa"/>
              <w:bottom w:w="85" w:type="dxa"/>
              <w:end w:w="95" w:type="dxa"/>
            </w:tcMar>
            <w:shd w:fill="EAF1F8"/>
            <w:vAlign w:val="center"/>
          </w:tcPr>
          <w:p>
            <w:pPr>
              <w:jc w:val="center"/>
            </w:pPr>
            <w:r>
              <w:rPr>
                <w:sz w:val="16"/>
              </w:rPr>
              <w:t>A separate full-size benchmark projected 5.17 minutes, well under the 144-minute rule.</w:t>
            </w:r>
          </w:p>
        </w:tc>
      </w:tr>
      <w:tr>
        <w:tc>
          <w:tcPr>
            <w:tcW w:type="dxa" w:w="3528"/>
            <w:tcMar>
              <w:top w:w="85" w:type="dxa"/>
              <w:start w:w="95" w:type="dxa"/>
              <w:bottom w:w="85" w:type="dxa"/>
              <w:end w:w="95" w:type="dxa"/>
            </w:tcMar>
            <w:vAlign w:val="center"/>
          </w:tcPr>
          <w:p>
            <w:pPr>
              <w:jc w:val="left"/>
            </w:pPr>
            <w:r>
              <w:rPr>
                <w:sz w:val="16"/>
              </w:rPr>
              <w:t>Why not run a significance test?</w:t>
            </w:r>
          </w:p>
        </w:tc>
        <w:tc>
          <w:tcPr>
            <w:tcW w:type="dxa" w:w="6336"/>
            <w:tcMar>
              <w:top w:w="85" w:type="dxa"/>
              <w:start w:w="95" w:type="dxa"/>
              <w:bottom w:w="85" w:type="dxa"/>
              <w:end w:w="95" w:type="dxa"/>
            </w:tcMar>
            <w:vAlign w:val="center"/>
          </w:tcPr>
          <w:p>
            <w:pPr>
              <w:jc w:val="center"/>
            </w:pPr>
            <w:r>
              <w:rPr>
                <w:sz w:val="16"/>
              </w:rPr>
              <w:t>With five seeds, the preregistered descriptive rule avoids overstating a fragile p-value.</w:t>
            </w:r>
          </w:p>
        </w:tc>
      </w:tr>
      <w:tr>
        <w:tc>
          <w:tcPr>
            <w:tcW w:type="dxa" w:w="3528"/>
            <w:tcMar>
              <w:top w:w="85" w:type="dxa"/>
              <w:start w:w="95" w:type="dxa"/>
              <w:bottom w:w="85" w:type="dxa"/>
              <w:end w:w="95" w:type="dxa"/>
            </w:tcMar>
            <w:shd w:fill="EAF1F8"/>
            <w:vAlign w:val="center"/>
          </w:tcPr>
          <w:p>
            <w:pPr>
              <w:jc w:val="left"/>
            </w:pPr>
            <w:r>
              <w:rPr>
                <w:sz w:val="16"/>
              </w:rPr>
              <w:t>What would change the recommendation?</w:t>
            </w:r>
          </w:p>
        </w:tc>
        <w:tc>
          <w:tcPr>
            <w:tcW w:type="dxa" w:w="6336"/>
            <w:tcMar>
              <w:top w:w="85" w:type="dxa"/>
              <w:start w:w="95" w:type="dxa"/>
              <w:bottom w:w="85" w:type="dxa"/>
              <w:end w:w="95" w:type="dxa"/>
            </w:tcMar>
            <w:shd w:fill="EAF1F8"/>
            <w:vAlign w:val="center"/>
          </w:tcPr>
          <w:p>
            <w:pPr>
              <w:jc w:val="center"/>
            </w:pPr>
            <w:r>
              <w:rPr>
                <w:sz w:val="16"/>
              </w:rPr>
              <w:t>Representative real data, broader stress tests, or a repeated study showing separation beyond seed spread.</w:t>
            </w:r>
          </w:p>
        </w:tc>
      </w:tr>
      <w:tr>
        <w:tc>
          <w:tcPr>
            <w:tcW w:type="dxa" w:w="3528"/>
            <w:tcMar>
              <w:top w:w="85" w:type="dxa"/>
              <w:start w:w="95" w:type="dxa"/>
              <w:bottom w:w="85" w:type="dxa"/>
              <w:end w:w="95" w:type="dxa"/>
            </w:tcMar>
            <w:vAlign w:val="center"/>
          </w:tcPr>
          <w:p>
            <w:pPr>
              <w:jc w:val="left"/>
            </w:pPr>
            <w:r>
              <w:rPr>
                <w:sz w:val="16"/>
              </w:rPr>
              <w:t>Does this satisfy the EU AI Act?</w:t>
            </w:r>
          </w:p>
        </w:tc>
        <w:tc>
          <w:tcPr>
            <w:tcW w:type="dxa" w:w="6336"/>
            <w:tcMar>
              <w:top w:w="85" w:type="dxa"/>
              <w:start w:w="95" w:type="dxa"/>
              <w:bottom w:w="85" w:type="dxa"/>
              <w:end w:w="95" w:type="dxa"/>
            </w:tcMar>
            <w:vAlign w:val="center"/>
          </w:tcPr>
          <w:p>
            <w:pPr>
              <w:jc w:val="center"/>
            </w:pPr>
            <w:r>
              <w:rPr>
                <w:sz w:val="16"/>
              </w:rPr>
              <w:t>It is an Annex IV-style course package, not a legal conformity determination.</w:t>
            </w:r>
          </w:p>
        </w:tc>
      </w:tr>
    </w:tbl>
    <w:p>
      <w:pPr>
        <w:spacing w:after="0"/>
      </w:pPr>
    </w:p>
    <w:p>
      <w:pPr>
        <w:pStyle w:val="Heading2"/>
      </w:pPr>
      <w:r>
        <w:t>Recording checklist</w:t>
      </w:r>
    </w:p>
    <w:p>
      <w:pPr>
        <w:pStyle w:val="ListBullet"/>
        <w:spacing w:after="60"/>
      </w:pPr>
      <w:r>
        <w:t>Use Zoom, Loom, OBS, or a built-in recorder; select MP4 when available.</w:t>
      </w:r>
    </w:p>
    <w:p>
      <w:pPr>
        <w:pStyle w:val="ListBullet"/>
        <w:spacing w:after="60"/>
      </w:pPr>
      <w:r>
        <w:t>Keep your face visible for the entire 8–10 minutes, including screen sharing.</w:t>
      </w:r>
    </w:p>
    <w:p>
      <w:pPr>
        <w:pStyle w:val="ListBullet"/>
        <w:spacing w:after="60"/>
      </w:pPr>
      <w:r>
        <w:t>Open the artifacts in advance and enlarge the plot and tables for readability.</w:t>
      </w:r>
    </w:p>
    <w:p>
      <w:pPr>
        <w:pStyle w:val="ListBullet"/>
        <w:spacing w:after="60"/>
      </w:pPr>
      <w:r>
        <w:t>Use this outline as prompts. Do not read a prepared script verbatim.</w:t>
      </w:r>
    </w:p>
    <w:p>
      <w:pPr>
        <w:pStyle w:val="ListBullet"/>
        <w:spacing w:after="60"/>
      </w:pPr>
      <w:r>
        <w:t>State the finding and its limitations with equal clarity; verify audio before the final take.</w:t>
      </w:r>
    </w:p>
    <w:p>
      <w:pPr>
        <w:pStyle w:val="Heading2"/>
      </w:pPr>
      <w:r>
        <w:t>Closing prompt</w:t>
      </w:r>
    </w:p>
    <w:p>
      <w:r>
        <w:t>Close by saying that the evidence does not justify paying for more adapter capacity. Rank 4 remains the working choice, the complete package preserves the basis for that decision, and real utility data are required before any production claim.</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Brent Oatis  |  CST 627  |  October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Camera On Capstone Presentation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