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itre-de-niveau-1-salut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Titre de niveau 1 salut</w:t>
      </w:r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bookmarkEnd w:id="20"/>
    <w:bookmarkStart w:id="21" w:name="tableau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tableau</w:t>
      </w:r>
    </w:p>
    <w:p>
      <w:pPr>
        <w:pStyle w:val="FirstParagraph"/>
      </w:pPr>
      <w:r>
        <w:t xml:space="preserve">Si on se réfère au tableau</w:t>
      </w:r>
      <w:r>
        <w:t xml:space="preserve"> </w:t>
      </w:r>
      <w:r>
        <w:t xml:space="preserve">2.1</w:t>
      </w:r>
      <w:r>
        <w:t xml:space="preserve">, on voit que c’est beau. Ou</w:t>
      </w:r>
      <w:r>
        <w:t xml:space="preserve"> </w:t>
      </w:r>
      <w:r>
        <w:t xml:space="preserve">2.2</w:t>
      </w:r>
    </w:p>
    <w:p>
      <w:pPr>
        <w:pStyle w:val="TableCaption"/>
      </w:pPr>
      <w:r>
        <w:t xml:space="preserve">Table 2.1: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1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/>
    <w:p>
      <w:pPr>
        <w:pStyle w:val="TableCaption"/>
      </w:pPr>
      <w:r>
        <w:t xml:space="preserve">Table 2.2: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2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bookmarkEnd w:id="21"/>
    <w:bookmarkStart w:id="23" w:name="image-interne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image interne</w:t>
      </w:r>
    </w:p>
    <w:p>
      <w:pPr>
        <w:pStyle w:val="FirstParagraph"/>
      </w:pPr>
      <w:r>
        <w:t xml:space="preserve">Si on se réfère à l’image interne</w:t>
      </w:r>
      <w:r>
        <w:t xml:space="preserve"> </w:t>
      </w:r>
      <w:r>
        <w:t xml:space="preserve">3.1</w:t>
      </w:r>
      <w:r>
        <w:t xml:space="preserve">, on voit que c’est beau.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3.1: A figure example with a relative width 70%.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A figure example with a relative width 70%.</w:t>
      </w:r>
    </w:p>
    <w:bookmarkEnd w:id="23"/>
    <w:bookmarkStart w:id="25" w:name="image-extern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Image externe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is an example of three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pStyle w:val="Corpsdetexte"/>
      </w:pPr>
      <w:r>
        <w:drawing>
          <wp:inline>
            <wp:extent cx="4271462" cy="4552816"/>
            <wp:effectExtent b="0" l="0" r="0" t="0"/>
            <wp:docPr descr="Figure 4.1: 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Word réduit pas les tailles.</w:t>
      </w:r>
    </w:p>
    <w:bookmarkEnd w:id="25"/>
    <w:bookmarkStart w:id="26" w:name="citations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Citations</w:t>
      </w:r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(Rébecca Shankland, 2015 ; R. Shankland &amp; Lamboy,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Rébecca 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Rébecca Shankland, 2015, pp. 33-35, également 2012, ch. 1)</w:t>
      </w:r>
      <w:r>
        <w:t xml:space="preserve">. Salut la vie</w:t>
      </w:r>
      <w:r>
        <w:t xml:space="preserve"> </w:t>
      </w:r>
      <w:r>
        <w:t xml:space="preserve">(Rebecca Shankland et al., 2018)</w:t>
      </w:r>
      <w:r>
        <w:t xml:space="preserve">.</w:t>
      </w:r>
    </w:p>
    <w:bookmarkEnd w:id="26"/>
    <w:bookmarkStart w:id="35" w:name="biblio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Biblio</w:t>
      </w:r>
    </w:p>
    <w:p>
      <w:pPr>
        <w:pStyle w:val="FirstParagraph"/>
      </w:pPr>
      <w:r>
        <w:t xml:space="preserve">Biblio doit contenir les 4 références : Mais aussi voir pour faire la biblio d’office en entier à partir du fichier bibtex (bio CV).</w:t>
      </w:r>
    </w:p>
    <w:bookmarkStart w:id="34" w:name="refs"/>
    <w:bookmarkStart w:id="28" w:name="ref-shankland2012"/>
    <w:p>
      <w:pPr>
        <w:pStyle w:val="Bibliographie"/>
      </w:pPr>
      <w:r>
        <w:t xml:space="preserve">Shankland, Rébecca. (2012). Bien-Être Subjectif et Comportements Altruistes : Les Individus Heureux Sont-Ils plus Généreux ?</w:t>
      </w:r>
      <w:r>
        <w:t xml:space="preserve"> </w:t>
      </w:r>
      <w:r>
        <w:rPr>
          <w:iCs/>
          <w:i/>
        </w:rPr>
        <w:t xml:space="preserve">Cips</w:t>
      </w:r>
      <w:r>
        <w:t xml:space="preserve">, 77‑88.</w:t>
      </w:r>
      <w:r>
        <w:t xml:space="preserve"> </w:t>
      </w:r>
      <w:hyperlink r:id="rId27">
        <w:r>
          <w:rPr>
            <w:rStyle w:val="Lienhypertexte"/>
          </w:rPr>
          <w:t xml:space="preserve">https://doi.org/10.3917/cips.093.0077</w:t>
        </w:r>
      </w:hyperlink>
    </w:p>
    <w:bookmarkEnd w:id="28"/>
    <w:bookmarkStart w:id="29" w:name="ref-shankland2015"/>
    <w:p>
      <w:pPr>
        <w:pStyle w:val="Bibliographie"/>
      </w:pPr>
      <w:r>
        <w:t xml:space="preserve">Shankland, Rébecca. (2015).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  <w:r>
        <w:t xml:space="preserve"> </w:t>
      </w:r>
      <w:r>
        <w:t xml:space="preserve">Dunod</w:t>
      </w:r>
      <w:r>
        <w:t xml:space="preserve">.</w:t>
      </w:r>
    </w:p>
    <w:bookmarkEnd w:id="29"/>
    <w:bookmarkStart w:id="31" w:name="ref-shankland2018a"/>
    <w:p>
      <w:pPr>
        <w:pStyle w:val="Bibliographie"/>
      </w:pPr>
      <w:r>
        <w:t xml:space="preserve">Shankland, Rebecca,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Cs/>
          <w:i/>
        </w:rPr>
        <w:t xml:space="preserve">Questions vives recherches en éducation</w:t>
      </w:r>
      <w:r>
        <w:t xml:space="preserve">, 0‑23.</w:t>
      </w:r>
      <w:r>
        <w:t xml:space="preserve"> </w:t>
      </w:r>
      <w:hyperlink r:id="rId30">
        <w:r>
          <w:rPr>
            <w:rStyle w:val="Lienhypertexte"/>
          </w:rPr>
          <w:t xml:space="preserve">https://doi.org/10.4000/questionsvives.3601</w:t>
        </w:r>
      </w:hyperlink>
    </w:p>
    <w:bookmarkEnd w:id="31"/>
    <w:bookmarkStart w:id="33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Cs/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(2), 153‑172.</w:t>
      </w:r>
      <w:r>
        <w:t xml:space="preserve"> </w:t>
      </w:r>
      <w:hyperlink r:id="rId32">
        <w:r>
          <w:rPr>
            <w:rStyle w:val="Lienhypertexte"/>
          </w:rPr>
          <w:t xml:space="preserve">https://doi.org/10.1016/j.prps.2010.11.001</w:t>
        </w:r>
      </w:hyperlink>
    </w:p>
    <w:bookmarkEnd w:id="33"/>
    <w:bookmarkEnd w:id="34"/>
    <w:bookmarkEnd w:id="35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d’article complet avec toutes les contraintes</dc:title>
  <dc:creator>Nicolas Bressoud</dc:creator>
  <dc:language>fr</dc:language>
  <cp:keywords/>
  <dcterms:created xsi:type="dcterms:W3CDTF">2021-01-20T18:25:13Z</dcterms:created>
  <dcterms:modified xsi:type="dcterms:W3CDTF">2021-01-20T18:25:13Z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