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Untitled</w:t>
      </w:r>
    </w:p>
    <w:bookmarkStart w:id="20" w:name="titre-de-niveau-1-salut"/>
    <w:p>
      <w:pPr>
        <w:pStyle w:val="Titre1"/>
      </w:pPr>
      <w:r>
        <w:t xml:space="preserve">Titre de niveau 1 salut</w:t>
      </w:r>
    </w:p>
    <w:p>
      <w:pPr>
        <w:numPr>
          <w:ilvl w:val="0"/>
          <w:numId w:val="1001"/>
        </w:numPr>
        <w:pStyle w:val="Compact"/>
      </w:pPr>
      <w:r>
        <w:t xml:space="preserve">ajouter image interne (générée par R)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table avec référence dans le texte, légende (kable)</w:t>
      </w:r>
    </w:p>
    <w:p>
      <w:pPr>
        <w:numPr>
          <w:ilvl w:val="0"/>
          <w:numId w:val="1001"/>
        </w:numPr>
        <w:pStyle w:val="Compact"/>
      </w:pPr>
      <w:r>
        <w:t xml:space="preserve">ajouter image externe,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référence biblio dans texte</w:t>
      </w:r>
    </w:p>
    <w:p>
      <w:pPr>
        <w:numPr>
          <w:ilvl w:val="0"/>
          <w:numId w:val="1001"/>
        </w:numPr>
        <w:pStyle w:val="Compact"/>
      </w:pPr>
      <w:r>
        <w:t xml:space="preserve">ajouter biblio</w:t>
      </w:r>
    </w:p>
    <w:p>
      <w:pPr>
        <w:pStyle w:val="FirstParagraph"/>
      </w:pPr>
      <w:r>
        <w:t xml:space="preserve">PDF et Word énumèrent pas.</w:t>
      </w:r>
    </w:p>
    <w:p>
      <w:pPr>
        <w:pStyle w:val="Normalcentr"/>
      </w:pPr>
      <w:r>
        <w:t xml:space="preserve">à gérer la langue de</w:t>
      </w:r>
      <w:r>
        <w:t xml:space="preserve"> </w:t>
      </w:r>
      <w:r>
        <w:t xml:space="preserve">“</w:t>
      </w:r>
      <w:r>
        <w:t xml:space="preserve">table of contents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au lieu de</w:t>
      </w:r>
      <w:r>
        <w:t xml:space="preserve"> </w:t>
      </w:r>
      <w:r>
        <w:t xml:space="preserve">“</w:t>
      </w:r>
      <w:r>
        <w:t xml:space="preserve">tableau.</w:t>
      </w:r>
      <w:r>
        <w:t xml:space="preserve">”</w:t>
      </w:r>
    </w:p>
    <w:bookmarkEnd w:id="20"/>
    <w:bookmarkStart w:id="21" w:name="tableau"/>
    <w:p>
      <w:pPr>
        <w:pStyle w:val="Titre1"/>
      </w:pPr>
      <w:r>
        <w:t xml:space="preserve">tableau</w:t>
      </w:r>
    </w:p>
    <w:p>
      <w:pPr>
        <w:pStyle w:val="FirstParagraph"/>
      </w:pPr>
      <w:r>
        <w:t xml:space="preserve">Si on se réfère au tableau @ref(tab:iris-lol), on voit que c’est beau. Ou @ref(tab:table-single)</w:t>
      </w:r>
    </w:p>
    <w:p>
      <w:pPr>
        <w:pStyle w:val="TableCaption"/>
      </w:pPr>
      <w:r>
        <w:t xml:space="preserve">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/>
    <w:p>
      <w:pPr>
        <w:pStyle w:val="TableCaption"/>
      </w:pPr>
      <w:r>
        <w:t xml:space="preserve">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orpsdetexte"/>
      </w:pPr>
      <w:r>
        <w:t xml:space="preserve">La mise en forme et l’emplacement des tableaux diffèrent selon le type de sorties. Voir aussi Andy Field pour ajouter du KableExtra ?</w:t>
      </w:r>
    </w:p>
    <w:p>
      <w:pPr>
        <w:pStyle w:val="Corpsdetexte"/>
      </w:pPr>
      <w:r>
        <w:t xml:space="preserve">WORD fait pas de différences entre les deux mises en page de tableaux.</w:t>
      </w:r>
    </w:p>
    <w:bookmarkEnd w:id="21"/>
    <w:bookmarkStart w:id="23" w:name="image-interne"/>
    <w:p>
      <w:pPr>
        <w:pStyle w:val="Titre1"/>
      </w:pPr>
      <w:r>
        <w:t xml:space="preserve">image interne</w:t>
      </w:r>
    </w:p>
    <w:p>
      <w:pPr>
        <w:pStyle w:val="FirstParagraph"/>
      </w:pPr>
      <w:r>
        <w:t xml:space="preserve">Si on se réfère à l’image interne @ref(fig:pressure), on voit que c’est beau.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A figure example with a relative width 70%." title="" id="1" name="Picture"/>
            <a:graphic>
              <a:graphicData uri="http://schemas.openxmlformats.org/drawingml/2006/picture">
                <pic:pic>
                  <pic:nvPicPr>
                    <pic:cNvPr descr="essa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figure example with a relative width 70%.</w:t>
      </w:r>
    </w:p>
    <w:bookmarkEnd w:id="23"/>
    <w:bookmarkStart w:id="25" w:name="image-externe"/>
    <w:p>
      <w:pPr>
        <w:pStyle w:val="Titre1"/>
      </w:pPr>
      <w:r>
        <w:t xml:space="preserve">Image externe</w:t>
      </w:r>
    </w:p>
    <w:p>
      <w:pPr>
        <w:pStyle w:val="FirstParagraph"/>
      </w:pPr>
      <w:r>
        <w:t xml:space="preserve">Figure @ref(fig:knitr-logo) is an example of three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logos included in a figure environment.</w:t>
      </w:r>
    </w:p>
    <w:p>
      <w:pPr>
        <w:pStyle w:val="Corpsdetexte"/>
      </w:pPr>
      <w:r>
        <w:drawing>
          <wp:inline>
            <wp:extent cx="4271462" cy="4552816"/>
            <wp:effectExtent b="0" l="0" r="0" t="0"/>
            <wp:docPr descr="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Word réduit pas les tailles.</w:t>
      </w:r>
    </w:p>
    <w:bookmarkEnd w:id="25"/>
    <w:bookmarkStart w:id="26" w:name="citations"/>
    <w:p>
      <w:pPr>
        <w:pStyle w:val="Titre1"/>
      </w:pPr>
      <w:r>
        <w:t xml:space="preserve">Citations</w:t>
      </w:r>
    </w:p>
    <w:p>
      <w:pPr>
        <w:pStyle w:val="FirstParagraph"/>
      </w:pPr>
      <w:r>
        <w:t xml:space="preserve">La vie est belle</w:t>
      </w:r>
      <w:r>
        <w:t xml:space="preserve"> </w:t>
      </w:r>
      <w:r>
        <w:t xml:space="preserve">(</w:t>
      </w:r>
      <w:hyperlink w:anchor="ref-shankland2015">
        <w:r>
          <w:rPr>
            <w:rStyle w:val="Lienhypertexte"/>
          </w:rPr>
          <w:t xml:space="preserve">Rébecca Shankland, 2015</w:t>
        </w:r>
      </w:hyperlink>
      <w:r>
        <w:t xml:space="preserve"> </w:t>
      </w:r>
      <w:r>
        <w:t xml:space="preserve">;</w:t>
      </w:r>
      <w:r>
        <w:t xml:space="preserve"> </w:t>
      </w:r>
      <w:hyperlink w:anchor="ref-shankland2011">
        <w:r>
          <w:rPr>
            <w:rStyle w:val="Lienhypertexte"/>
          </w:rPr>
          <w:t xml:space="preserve">R. Shankland &amp; Lamboy, 2011</w:t>
        </w:r>
      </w:hyperlink>
      <w:r>
        <w:t xml:space="preserve">)</w:t>
      </w:r>
      <w:r>
        <w:t xml:space="preserve">. Et aime bien le discours de Shankland</w:t>
      </w:r>
      <w:r>
        <w:t xml:space="preserve"> </w:t>
      </w:r>
      <w:r>
        <w:t xml:space="preserve">(</w:t>
      </w:r>
      <w:hyperlink w:anchor="ref-shankland2015">
        <w:r>
          <w:rPr>
            <w:rStyle w:val="Lienhypertexte"/>
          </w:rPr>
          <w:t xml:space="preserve">2015</w:t>
        </w:r>
      </w:hyperlink>
      <w:r>
        <w:t xml:space="preserve">)</w:t>
      </w:r>
      <w:r>
        <w:t xml:space="preserve">.</w:t>
      </w:r>
      <w:r>
        <w:t xml:space="preserve"> </w:t>
      </w:r>
      <w:hyperlink w:anchor="ref-shankland2012">
        <w:r>
          <w:rPr>
            <w:rStyle w:val="Lienhypertexte"/>
          </w:rPr>
          <w:t xml:space="preserve">Rébecca Shankland</w:t>
        </w:r>
      </w:hyperlink>
      <w:r>
        <w:t xml:space="preserve"> </w:t>
      </w:r>
      <w:r>
        <w:t xml:space="preserve">(</w:t>
      </w:r>
      <w:hyperlink w:anchor="ref-shankland2012">
        <w:r>
          <w:rPr>
            <w:rStyle w:val="Lienhypertexte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pense aussi cela. Mais pas tout le temps</w:t>
      </w:r>
      <w:r>
        <w:t xml:space="preserve"> </w:t>
      </w:r>
      <w:r>
        <w:t xml:space="preserve">(voir</w:t>
      </w:r>
      <w:r>
        <w:t xml:space="preserve"> </w:t>
      </w:r>
      <w:hyperlink w:anchor="ref-shankland2015">
        <w:r>
          <w:rPr>
            <w:rStyle w:val="Lienhypertexte"/>
          </w:rPr>
          <w:t xml:space="preserve">Rébecca Shankland, 2015, pp. 33–35</w:t>
        </w:r>
      </w:hyperlink>
      <w:r>
        <w:t xml:space="preserve">; également</w:t>
      </w:r>
      <w:r>
        <w:t xml:space="preserve"> </w:t>
      </w:r>
      <w:hyperlink w:anchor="ref-shankland2012">
        <w:r>
          <w:rPr>
            <w:rStyle w:val="Lienhypertexte"/>
          </w:rPr>
          <w:t xml:space="preserve">2012</w:t>
        </w:r>
      </w:hyperlink>
      <w:r>
        <w:t xml:space="preserve">, ch. 1)</w:t>
      </w:r>
      <w:r>
        <w:t xml:space="preserve">. Salut la vie</w:t>
      </w:r>
      <w:r>
        <w:t xml:space="preserve"> </w:t>
      </w:r>
      <w:r>
        <w:t xml:space="preserve">(</w:t>
      </w:r>
      <w:hyperlink w:anchor="ref-shankland2018a">
        <w:r>
          <w:rPr>
            <w:rStyle w:val="Lienhypertexte"/>
          </w:rPr>
          <w:t xml:space="preserve">Rebecca Shankland et al., 2018</w:t>
        </w:r>
      </w:hyperlink>
      <w:r>
        <w:t xml:space="preserve">)</w:t>
      </w:r>
      <w:r>
        <w:t xml:space="preserve">.</w:t>
      </w:r>
    </w:p>
    <w:bookmarkEnd w:id="26"/>
    <w:bookmarkStart w:id="35" w:name="biblio"/>
    <w:p>
      <w:pPr>
        <w:pStyle w:val="Titre1"/>
      </w:pPr>
      <w:r>
        <w:t xml:space="preserve">Biblio</w:t>
      </w:r>
    </w:p>
    <w:p>
      <w:pPr>
        <w:pStyle w:val="FirstParagraph"/>
      </w:pPr>
      <w:r>
        <w:t xml:space="preserve">Biblio doit contenir les 4 références : Mais aussi voir pour faire la biblio d’office en entier à partir du fichier bibtex (bio CV).</w:t>
      </w:r>
    </w:p>
    <w:bookmarkStart w:id="34" w:name="refs"/>
    <w:bookmarkStart w:id="28" w:name="ref-shankland2012"/>
    <w:p>
      <w:pPr>
        <w:pStyle w:val="Bibliographie"/>
      </w:pPr>
      <w:r>
        <w:t xml:space="preserve">Shankland, Rébecca. (2012). Bien-être subjectif et comportements altruistes : Les individus heureux sont-ils plus généreux ?</w:t>
      </w:r>
      <w:r>
        <w:t xml:space="preserve"> </w:t>
      </w:r>
      <w:r>
        <w:rPr>
          <w:iCs/>
          <w:i/>
        </w:rPr>
        <w:t xml:space="preserve">Cips</w:t>
      </w:r>
      <w:r>
        <w:t xml:space="preserve">, 77–88.</w:t>
      </w:r>
      <w:r>
        <w:t xml:space="preserve"> </w:t>
      </w:r>
      <w:hyperlink r:id="rId27">
        <w:r>
          <w:rPr>
            <w:rStyle w:val="Lienhypertexte"/>
          </w:rPr>
          <w:t xml:space="preserve">https://doi.org/10.3917/cips.093.0077</w:t>
        </w:r>
      </w:hyperlink>
    </w:p>
    <w:bookmarkEnd w:id="28"/>
    <w:bookmarkStart w:id="29" w:name="ref-shankland2015"/>
    <w:p>
      <w:pPr>
        <w:pStyle w:val="Bibliographie"/>
      </w:pPr>
      <w:r>
        <w:t xml:space="preserve">Shankland, Rébecca. (2015).</w:t>
      </w:r>
      <w:r>
        <w:t xml:space="preserve"> </w:t>
      </w:r>
      <w:r>
        <w:rPr>
          <w:iCs/>
          <w:i/>
        </w:rPr>
        <w:t xml:space="preserve">La psychologie positive</w:t>
      </w:r>
      <w:r>
        <w:t xml:space="preserve">.</w:t>
      </w:r>
      <w:r>
        <w:t xml:space="preserve"> </w:t>
      </w:r>
      <w:r>
        <w:t xml:space="preserve">Dunod</w:t>
      </w:r>
      <w:r>
        <w:t xml:space="preserve">.</w:t>
      </w:r>
    </w:p>
    <w:bookmarkEnd w:id="29"/>
    <w:bookmarkStart w:id="31" w:name="ref-shankland2018a"/>
    <w:p>
      <w:pPr>
        <w:pStyle w:val="Bibliographie"/>
      </w:pPr>
      <w:r>
        <w:t xml:space="preserve">Shankland, Rebecca, Bressoud, N., Tessier, D., &amp; Gay, P. (2018). La bienveillance : Une compétence socio-émotionnelle de l’enseignant au service du bien-être et des apprentissages ?</w:t>
      </w:r>
      <w:r>
        <w:t xml:space="preserve"> </w:t>
      </w:r>
      <w:r>
        <w:rPr>
          <w:iCs/>
          <w:i/>
        </w:rPr>
        <w:t xml:space="preserve">Questions Vives Recherches En éducation</w:t>
      </w:r>
      <w:r>
        <w:t xml:space="preserve">, 0–23.</w:t>
      </w:r>
      <w:r>
        <w:t xml:space="preserve"> </w:t>
      </w:r>
      <w:hyperlink r:id="rId30">
        <w:r>
          <w:rPr>
            <w:rStyle w:val="Lienhypertexte"/>
          </w:rPr>
          <w:t xml:space="preserve">https://doi.org/10.4000/questionsvives.3601</w:t>
        </w:r>
      </w:hyperlink>
    </w:p>
    <w:bookmarkEnd w:id="31"/>
    <w:bookmarkStart w:id="33" w:name="ref-shankland2011"/>
    <w:p>
      <w:pPr>
        <w:pStyle w:val="Bibliographie"/>
      </w:pPr>
      <w:r>
        <w:t xml:space="preserve">Shankland, R., &amp; Lamboy, B. (2011). Utilité des modles théoriques pour la conception et l’évaluation de programmes en prévention et promotion de la santé.</w:t>
      </w:r>
      <w:r>
        <w:t xml:space="preserve"> </w:t>
      </w:r>
      <w:r>
        <w:rPr>
          <w:iCs/>
          <w:i/>
        </w:rPr>
        <w:t xml:space="preserve">Pratiques Psychologiques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(2), 153–172.</w:t>
      </w:r>
      <w:r>
        <w:t xml:space="preserve"> </w:t>
      </w:r>
      <w:hyperlink r:id="rId32">
        <w:r>
          <w:rPr>
            <w:rStyle w:val="Lienhypertexte"/>
          </w:rPr>
          <w:t xml:space="preserve">https://doi.org/10.1016/j.prps.2010.11.001</w:t>
        </w:r>
      </w:hyperlink>
    </w:p>
    <w:bookmarkEnd w:id="33"/>
    <w:bookmarkEnd w:id="34"/>
    <w:bookmarkEnd w:id="35"/>
    <w:sectPr w:rsidR="00241CB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7A5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A924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747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448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8701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B0A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CC4A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9C3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C4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8A9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4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EB0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66C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266C6A"/>
    <w:pPr>
      <w:spacing w:before="240" w:line="259" w:lineRule="auto"/>
      <w:outlineLvl w:val="9"/>
    </w:pPr>
    <w:rPr>
      <w:b w:val="0"/>
      <w:bCs w:val="0"/>
      <w:i/>
      <w:i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266C6A"/>
    <w:pPr>
      <w:spacing w:after="100"/>
    </w:pPr>
  </w:style>
  <w:style w:type="character" w:customStyle="1" w:styleId="CorpsdetexteCar">
    <w:name w:val="Corps de texte Car"/>
    <w:basedOn w:val="Policepardfaut"/>
    <w:link w:val="Corpsdetexte"/>
    <w:rsid w:val="0026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32" Target="https://doi.org/10.1016/j.prps.2010.11.001" TargetMode="External" /><Relationship Type="http://schemas.openxmlformats.org/officeDocument/2006/relationships/hyperlink" Id="rId27" Target="https://doi.org/10.3917/cips.093.0077" TargetMode="External" /><Relationship Type="http://schemas.openxmlformats.org/officeDocument/2006/relationships/hyperlink" Id="rId30" Target="https://doi.org/10.4000/questionsvives.36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016/j.prps.2010.11.001" TargetMode="External" /><Relationship Type="http://schemas.openxmlformats.org/officeDocument/2006/relationships/hyperlink" Id="rId27" Target="https://doi.org/10.3917/cips.093.0077" TargetMode="External" /><Relationship Type="http://schemas.openxmlformats.org/officeDocument/2006/relationships/hyperlink" Id="rId30" Target="https://doi.org/10.4000/questionsvives.36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2021-01-21T10:16:08Z</dcterms:created>
  <dcterms:modified xsi:type="dcterms:W3CDTF">2021-01-21T10:16:08Z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editor_options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