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Script</w:t>
      </w:r>
      <w:r>
        <w:t xml:space="preserve"> </w:t>
      </w:r>
      <w:r>
        <w:t xml:space="preserve">du</w:t>
      </w:r>
      <w:r>
        <w:t xml:space="preserve"> </w:t>
      </w:r>
      <w:r>
        <w:t xml:space="preserve">cadre</w:t>
      </w:r>
      <w:r>
        <w:t xml:space="preserve"> </w:t>
      </w:r>
      <w:r>
        <w:t xml:space="preserve">théorique</w:t>
      </w:r>
      <w:r>
        <w:t xml:space="preserve"> </w:t>
      </w:r>
      <w:r>
        <w:t xml:space="preserve">avec</w:t>
      </w:r>
      <w:r>
        <w:t xml:space="preserve"> </w:t>
      </w:r>
      <w:r>
        <w:t xml:space="preserve">références</w:t>
      </w:r>
    </w:p>
    <w:p>
      <w:pPr>
        <w:pStyle w:val="Author"/>
      </w:pPr>
      <w:r>
        <w:t xml:space="preserve">Nicolas</w:t>
      </w:r>
      <w:r>
        <w:t xml:space="preserve"> </w:t>
      </w:r>
      <w:r>
        <w:t xml:space="preserve">Bressoud</w:t>
      </w:r>
    </w:p>
    <w:p>
      <w:pPr>
        <w:pStyle w:val="Date"/>
      </w:pPr>
      <w:r>
        <w:t xml:space="preserve">janvier</w:t>
      </w:r>
      <w:r>
        <w:t xml:space="preserve"> </w:t>
      </w:r>
      <w:r>
        <w:t xml:space="preserve">2021</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bookmarkStart w:id="20" w:name="biblio"/>
    <w:p>
      <w:pPr>
        <w:pStyle w:val="Titre1"/>
      </w:pPr>
      <w:r>
        <w:rPr>
          <w:rStyle w:val="SectionNumber"/>
        </w:rPr>
        <w:t xml:space="preserve">1</w:t>
      </w:r>
      <w:r>
        <w:tab/>
      </w:r>
      <w:r>
        <w:t xml:space="preserve">Biblio</w:t>
      </w:r>
    </w:p>
    <w:p>
      <w:pPr>
        <w:pStyle w:val="FirstParagraph"/>
      </w:pPr>
      <w:r>
        <w:t xml:space="preserve">Biblio doit contenir les 4 références :</w:t>
      </w:r>
      <w:r>
        <w:t xml:space="preserve"> </w:t>
      </w:r>
      <w:r>
        <w:t xml:space="preserve">Mais aussi voir pour faire la biblio d’office en entier à partir du fichier bibtex (bio CV).</w:t>
      </w:r>
    </w:p>
    <w:bookmarkEnd w:id="20"/>
    <w:bookmarkStart w:id="22" w:name="inclusion"/>
    <w:p>
      <w:pPr>
        <w:pStyle w:val="Titre1"/>
      </w:pPr>
      <w:r>
        <w:rPr>
          <w:rStyle w:val="SectionNumber"/>
        </w:rPr>
        <w:t xml:space="preserve">2</w:t>
      </w:r>
      <w:r>
        <w:tab/>
      </w:r>
      <w:r>
        <w:t xml:space="preserve">Inclusion</w:t>
      </w:r>
    </w:p>
    <w:bookmarkStart w:id="21" w:name="contexte-et-cadrage-large"/>
    <w:p>
      <w:pPr>
        <w:pStyle w:val="Titre2"/>
      </w:pPr>
      <w:r>
        <w:rPr>
          <w:rStyle w:val="SectionNumber"/>
        </w:rPr>
        <w:t xml:space="preserve">2.1</w:t>
      </w:r>
      <w:r>
        <w:tab/>
      </w:r>
      <w:r>
        <w:t xml:space="preserve">Contexte et cadrage large</w:t>
      </w:r>
    </w:p>
    <w:p>
      <w:pPr>
        <w:pStyle w:val="FirstParagraph"/>
      </w:pPr>
      <w:r>
        <w:t xml:space="preserve">(HOT, revue théorique) Le terme d’inclusion s’impose dans le langage public à la place du terme intégration. L’inclusion scolaire implique une vision postnormative de l’éducation.</w:t>
      </w:r>
      <w:r>
        <w:t xml:space="preserve"> </w:t>
      </w:r>
      <w:r>
        <w:t xml:space="preserve">(Ebersold, 2009)</w:t>
      </w:r>
    </w:p>
    <w:bookmarkEnd w:id="21"/>
    <w:bookmarkEnd w:id="22"/>
    <w:bookmarkStart w:id="25" w:name="bonheur-bien-être-etc"/>
    <w:p>
      <w:pPr>
        <w:pStyle w:val="Titre1"/>
      </w:pPr>
      <w:r>
        <w:rPr>
          <w:rStyle w:val="SectionNumber"/>
        </w:rPr>
        <w:t xml:space="preserve">3</w:t>
      </w:r>
      <w:r>
        <w:tab/>
      </w:r>
      <w:r>
        <w:t xml:space="preserve">Bonheur, bien-être, etc</w:t>
      </w:r>
    </w:p>
    <w:bookmarkStart w:id="23" w:name="bonheur-épistémologie-querelles"/>
    <w:p>
      <w:pPr>
        <w:pStyle w:val="Titre2"/>
      </w:pPr>
      <w:r>
        <w:rPr>
          <w:rStyle w:val="SectionNumber"/>
        </w:rPr>
        <w:t xml:space="preserve">3.1</w:t>
      </w:r>
      <w:r>
        <w:tab/>
      </w:r>
      <w:r>
        <w:t xml:space="preserve">Bonheur, épistémologie, querelles</w:t>
      </w:r>
    </w:p>
    <w:p>
      <w:pPr>
        <w:pStyle w:val="FirstParagraph"/>
      </w:pPr>
      <w:r>
        <w:t xml:space="preserve">(Revue théorique) Les querelles philosophiques autour de la notion de bonheur restent vives [Voir p.ex.@ferry2016].</w:t>
      </w:r>
    </w:p>
    <w:bookmarkEnd w:id="23"/>
    <w:bookmarkStart w:id="24" w:name="bien-être-scolaire-définition-et-cadre"/>
    <w:p>
      <w:pPr>
        <w:pStyle w:val="Titre2"/>
      </w:pPr>
      <w:r>
        <w:rPr>
          <w:rStyle w:val="SectionNumber"/>
        </w:rPr>
        <w:t xml:space="preserve">3.2</w:t>
      </w:r>
      <w:r>
        <w:tab/>
      </w:r>
      <w:r>
        <w:t xml:space="preserve">Bien-être scolaire : définition et cadre</w:t>
      </w:r>
    </w:p>
    <w:bookmarkEnd w:id="24"/>
    <w:bookmarkEnd w:id="25"/>
    <w:bookmarkStart w:id="29" w:name="forces-de-caractère"/>
    <w:p>
      <w:pPr>
        <w:pStyle w:val="Titre1"/>
      </w:pPr>
      <w:r>
        <w:rPr>
          <w:rStyle w:val="SectionNumber"/>
        </w:rPr>
        <w:t xml:space="preserve">4</w:t>
      </w:r>
      <w:r>
        <w:tab/>
      </w:r>
      <w:r>
        <w:t xml:space="preserve">Forces de caractère</w:t>
      </w:r>
    </w:p>
    <w:p>
      <w:pPr>
        <w:pStyle w:val="FirstParagraph"/>
      </w:pPr>
      <w:r>
        <w:rPr>
          <w:iCs/>
          <w:i/>
        </w:rPr>
        <w:t xml:space="preserve">Fouiller le site VIA.</w:t>
      </w:r>
    </w:p>
    <w:bookmarkStart w:id="26" w:name="en-général"/>
    <w:p>
      <w:pPr>
        <w:pStyle w:val="Titre2"/>
      </w:pPr>
      <w:r>
        <w:rPr>
          <w:rStyle w:val="SectionNumber"/>
        </w:rPr>
        <w:t xml:space="preserve">4.1</w:t>
      </w:r>
      <w:r>
        <w:tab/>
      </w:r>
      <w:r>
        <w:t xml:space="preserve">En général</w:t>
      </w:r>
    </w:p>
    <w:bookmarkEnd w:id="26"/>
    <w:bookmarkStart w:id="27" w:name="en-contexte-scolaire"/>
    <w:p>
      <w:pPr>
        <w:pStyle w:val="Titre2"/>
      </w:pPr>
      <w:r>
        <w:rPr>
          <w:rStyle w:val="SectionNumber"/>
        </w:rPr>
        <w:t xml:space="preserve">4.2</w:t>
      </w:r>
      <w:r>
        <w:tab/>
      </w:r>
      <w:r>
        <w:t xml:space="preserve">En contexte scolaire</w:t>
      </w:r>
    </w:p>
    <w:p>
      <w:pPr>
        <w:pStyle w:val="FirstParagraph"/>
      </w:pPr>
      <w:r>
        <w:t xml:space="preserve">(Étude) En Autstralie, un coaching sur les forces développe l’engagement et l’espoir chez des jeunes de environ 10-11 ans.</w:t>
      </w:r>
      <w:r>
        <w:t xml:space="preserve"> </w:t>
      </w:r>
      <w:r>
        <w:t xml:space="preserve">(Madden et al., 2011)</w:t>
      </w:r>
    </w:p>
    <w:p>
      <w:pPr>
        <w:pStyle w:val="Corpsdetexte"/>
      </w:pPr>
      <w:r>
        <w:t xml:space="preserve">(HOT, revue de pratiques) The Good School. En Australie, chez les jeunes 12 ans et moins, différentes intégrations des forces sont présentées. Les chercheurs ne se proposent pas de mesurer les effets.</w:t>
      </w:r>
      <w:r>
        <w:t xml:space="preserve"> </w:t>
      </w:r>
      <w:r>
        <w:t xml:space="preserve">(White et al., 2015)</w:t>
      </w:r>
    </w:p>
    <w:p>
      <w:pPr>
        <w:pStyle w:val="Corpsdetexte"/>
      </w:pPr>
      <w:r>
        <w:t xml:space="preserve">(Revue de pratiques) L’intégration des forces dans la vie scolaire est une pratique pertinente dans les écoles du XXIème siècle.</w:t>
      </w:r>
      <w:r>
        <w:t xml:space="preserve"> </w:t>
      </w:r>
      <w:r>
        <w:t xml:space="preserve">(Lavy, 2020)</w:t>
      </w:r>
    </w:p>
    <w:bookmarkEnd w:id="27"/>
    <w:bookmarkStart w:id="28" w:name="perspectives-générales"/>
    <w:p>
      <w:pPr>
        <w:pStyle w:val="Titre2"/>
      </w:pPr>
      <w:r>
        <w:rPr>
          <w:rStyle w:val="SectionNumber"/>
        </w:rPr>
        <w:t xml:space="preserve">4.3</w:t>
      </w:r>
      <w:r>
        <w:tab/>
      </w:r>
      <w:r>
        <w:t xml:space="preserve">Perspectives générales</w:t>
      </w:r>
    </w:p>
    <w:p>
      <w:pPr>
        <w:pStyle w:val="FirstParagraph"/>
      </w:pPr>
      <w:r>
        <w:t xml:space="preserve">(Proposition théorique) Identifier et utiliser les forces ne suffit pas. La dynamique contextuelle doit être prise en compte.</w:t>
      </w:r>
      <w:r>
        <w:t xml:space="preserve"> </w:t>
      </w:r>
      <w:r>
        <w:t xml:space="preserve">(Biswas-Diener et al., 2011)</w:t>
      </w:r>
    </w:p>
    <w:bookmarkEnd w:id="28"/>
    <w:bookmarkEnd w:id="29"/>
    <w:bookmarkStart w:id="31" w:name="éducation-positive"/>
    <w:p>
      <w:pPr>
        <w:pStyle w:val="Titre1"/>
      </w:pPr>
      <w:r>
        <w:rPr>
          <w:rStyle w:val="SectionNumber"/>
        </w:rPr>
        <w:t xml:space="preserve">5</w:t>
      </w:r>
      <w:r>
        <w:tab/>
      </w:r>
      <w:r>
        <w:t xml:space="preserve">Éducation positive</w:t>
      </w:r>
    </w:p>
    <w:bookmarkStart w:id="30" w:name="Xb58770280aa9194f8ac208fb0a6856401f11da1"/>
    <w:p>
      <w:pPr>
        <w:pStyle w:val="Titre2"/>
      </w:pPr>
      <w:r>
        <w:rPr>
          <w:rStyle w:val="SectionNumber"/>
        </w:rPr>
        <w:t xml:space="preserve">5.1</w:t>
      </w:r>
      <w:r>
        <w:tab/>
      </w:r>
      <w:r>
        <w:t xml:space="preserve">Contextualisation internationale ou bonnes pratiques</w:t>
      </w:r>
    </w:p>
    <w:bookmarkEnd w:id="30"/>
    <w:bookmarkEnd w:id="31"/>
    <w:bookmarkStart w:id="34" w:name="besoins-éducatifs-particuliers"/>
    <w:p>
      <w:pPr>
        <w:pStyle w:val="Titre1"/>
      </w:pPr>
      <w:r>
        <w:rPr>
          <w:rStyle w:val="SectionNumber"/>
        </w:rPr>
        <w:t xml:space="preserve">6</w:t>
      </w:r>
      <w:r>
        <w:tab/>
      </w:r>
      <w:r>
        <w:t xml:space="preserve">Besoins éducatifs particuliers</w:t>
      </w:r>
    </w:p>
    <w:bookmarkStart w:id="32" w:name="X4fae444c5f2205b07b8d52158d206cfdab69e7a"/>
    <w:p>
      <w:pPr>
        <w:pStyle w:val="Titre2"/>
      </w:pPr>
      <w:r>
        <w:rPr>
          <w:rStyle w:val="SectionNumber"/>
        </w:rPr>
        <w:t xml:space="preserve">6.1</w:t>
      </w:r>
      <w:r>
        <w:tab/>
      </w:r>
      <w:r>
        <w:t xml:space="preserve">Contexte du handicap, vocabulaire, concepts</w:t>
      </w:r>
    </w:p>
    <w:p>
      <w:pPr>
        <w:pStyle w:val="FirstParagraph"/>
      </w:pPr>
      <w:r>
        <w:t xml:space="preserve">(Proposition théorique) Dans cette approche biopsychosociale, la prise en compte du continuum processuel modifie nos conceptions de la notion de handicap mental et ne la résume pas à une limitation biologique.</w:t>
      </w:r>
      <w:r>
        <w:t xml:space="preserve"> </w:t>
      </w:r>
      <w:r>
        <w:t xml:space="preserve">(Kinderman, 2005)</w:t>
      </w:r>
    </w:p>
    <w:bookmarkEnd w:id="32"/>
    <w:bookmarkStart w:id="33" w:name="environnement-actuel"/>
    <w:p>
      <w:pPr>
        <w:pStyle w:val="Titre2"/>
      </w:pPr>
      <w:r>
        <w:rPr>
          <w:rStyle w:val="SectionNumber"/>
        </w:rPr>
        <w:t xml:space="preserve">6.2</w:t>
      </w:r>
      <w:r>
        <w:tab/>
      </w:r>
      <w:r>
        <w:t xml:space="preserve">Environnement actuel</w:t>
      </w:r>
    </w:p>
    <w:bookmarkEnd w:id="33"/>
    <w:bookmarkEnd w:id="34"/>
    <w:bookmarkStart w:id="39" w:name="psychologie-positive"/>
    <w:p>
      <w:pPr>
        <w:pStyle w:val="Titre1"/>
      </w:pPr>
      <w:r>
        <w:rPr>
          <w:rStyle w:val="SectionNumber"/>
        </w:rPr>
        <w:t xml:space="preserve">7</w:t>
      </w:r>
      <w:r>
        <w:tab/>
      </w:r>
      <w:r>
        <w:t xml:space="preserve">Psychologie positive</w:t>
      </w:r>
    </w:p>
    <w:bookmarkStart w:id="35" w:name="définition-et-fondements"/>
    <w:p>
      <w:pPr>
        <w:pStyle w:val="Titre2"/>
      </w:pPr>
      <w:r>
        <w:rPr>
          <w:rStyle w:val="SectionNumber"/>
        </w:rPr>
        <w:t xml:space="preserve">7.1</w:t>
      </w:r>
      <w:r>
        <w:tab/>
      </w:r>
      <w:r>
        <w:t xml:space="preserve">Définition et fondements</w:t>
      </w:r>
    </w:p>
    <w:bookmarkEnd w:id="35"/>
    <w:bookmarkStart w:id="36" w:name="controverses"/>
    <w:p>
      <w:pPr>
        <w:pStyle w:val="Titre2"/>
      </w:pPr>
      <w:r>
        <w:rPr>
          <w:rStyle w:val="SectionNumber"/>
        </w:rPr>
        <w:t xml:space="preserve">7.2</w:t>
      </w:r>
      <w:r>
        <w:tab/>
      </w:r>
      <w:r>
        <w:t xml:space="preserve">Controverses</w:t>
      </w:r>
    </w:p>
    <w:bookmarkEnd w:id="36"/>
    <w:bookmarkStart w:id="37" w:name="études-de-base"/>
    <w:p>
      <w:pPr>
        <w:pStyle w:val="Titre2"/>
      </w:pPr>
      <w:r>
        <w:rPr>
          <w:rStyle w:val="SectionNumber"/>
        </w:rPr>
        <w:t xml:space="preserve">7.3</w:t>
      </w:r>
      <w:r>
        <w:tab/>
      </w:r>
      <w:r>
        <w:t xml:space="preserve">Études de base</w:t>
      </w:r>
    </w:p>
    <w:p>
      <w:pPr>
        <w:pStyle w:val="FirstParagraph"/>
      </w:pPr>
      <w:r>
        <w:t xml:space="preserve">(Étude) Le rôles des émotions positives est mis en évidence dans les changement cognitifs des programmes de psychologie positive.</w:t>
      </w:r>
      <w:r>
        <w:t xml:space="preserve"> </w:t>
      </w:r>
      <w:r>
        <w:t xml:space="preserve">(Gander et al., 2018)</w:t>
      </w:r>
    </w:p>
    <w:bookmarkEnd w:id="37"/>
    <w:bookmarkStart w:id="38" w:name="a-lécole"/>
    <w:p>
      <w:pPr>
        <w:pStyle w:val="Titre2"/>
      </w:pPr>
      <w:r>
        <w:rPr>
          <w:rStyle w:val="SectionNumber"/>
        </w:rPr>
        <w:t xml:space="preserve">7.4</w:t>
      </w:r>
      <w:r>
        <w:tab/>
      </w:r>
      <w:r>
        <w:t xml:space="preserve">A l’école</w:t>
      </w:r>
    </w:p>
    <w:p>
      <w:pPr>
        <w:pStyle w:val="FirstParagraph"/>
      </w:pPr>
      <w:r>
        <w:t xml:space="preserve">(Étude) Chez les adolescents, l’intégration des stratégies de régulation émotionnelles jouent un rôle prépondérant dans le développement du bien-être.</w:t>
      </w:r>
      <w:r>
        <w:t xml:space="preserve"> </w:t>
      </w:r>
      <w:r>
        <w:t xml:space="preserve">(Burckhardt et al., 2016)</w:t>
      </w:r>
    </w:p>
    <w:bookmarkEnd w:id="38"/>
    <w:bookmarkEnd w:id="39"/>
    <w:bookmarkStart w:id="43" w:name="climat-de-classe"/>
    <w:p>
      <w:pPr>
        <w:pStyle w:val="Titre1"/>
      </w:pPr>
      <w:r>
        <w:rPr>
          <w:rStyle w:val="SectionNumber"/>
        </w:rPr>
        <w:t xml:space="preserve">8</w:t>
      </w:r>
      <w:r>
        <w:tab/>
      </w:r>
      <w:r>
        <w:t xml:space="preserve">Climat de classe</w:t>
      </w:r>
    </w:p>
    <w:bookmarkStart w:id="40" w:name="climat-détablissement-et-santé-psychique"/>
    <w:p>
      <w:pPr>
        <w:pStyle w:val="Titre2"/>
      </w:pPr>
      <w:r>
        <w:rPr>
          <w:rStyle w:val="SectionNumber"/>
        </w:rPr>
        <w:t xml:space="preserve">8.1</w:t>
      </w:r>
      <w:r>
        <w:tab/>
      </w:r>
      <w:r>
        <w:t xml:space="preserve">Climat d’établissement et santé psychique</w:t>
      </w:r>
    </w:p>
    <w:bookmarkEnd w:id="40"/>
    <w:bookmarkStart w:id="41" w:name="Xb75ef1fb225ce287b2c5945cfa84e532cf64f52"/>
    <w:p>
      <w:pPr>
        <w:pStyle w:val="Titre2"/>
      </w:pPr>
      <w:r>
        <w:rPr>
          <w:rStyle w:val="SectionNumber"/>
        </w:rPr>
        <w:t xml:space="preserve">8.2</w:t>
      </w:r>
      <w:r>
        <w:tab/>
      </w:r>
      <w:r>
        <w:t xml:space="preserve">Relations et enjeux émotionnels avec l’enseignant·e</w:t>
      </w:r>
    </w:p>
    <w:p>
      <w:pPr>
        <w:pStyle w:val="FirstParagraph"/>
      </w:pPr>
      <w:r>
        <w:t xml:space="preserve">(Proposition théorique) La manière dont les enseignant·es communiquent les émotions, particulièrement dans les petits degrés, est une question importante de la recherche.</w:t>
      </w:r>
      <w:r>
        <w:t xml:space="preserve"> </w:t>
      </w:r>
      <w:r>
        <w:t xml:space="preserve">(Yelinek &amp; Grady, 2017)</w:t>
      </w:r>
    </w:p>
    <w:p>
      <w:pPr>
        <w:pStyle w:val="Corpsdetexte"/>
      </w:pPr>
      <w:r>
        <w:t xml:space="preserve">(Étude) Chez les adolescents, une qualité de relation à l’enseignant·e prédit moins de problèmes de comportement et des attitudes prosociales.</w:t>
      </w:r>
      <w:r>
        <w:t xml:space="preserve"> </w:t>
      </w:r>
      <w:r>
        <w:t xml:space="preserve">(Obsuth et al., 2017)</w:t>
      </w:r>
    </w:p>
    <w:bookmarkEnd w:id="41"/>
    <w:bookmarkStart w:id="42" w:name="gestion-de-classe"/>
    <w:p>
      <w:pPr>
        <w:pStyle w:val="Titre2"/>
      </w:pPr>
      <w:r>
        <w:rPr>
          <w:rStyle w:val="SectionNumber"/>
        </w:rPr>
        <w:t xml:space="preserve">8.3</w:t>
      </w:r>
      <w:r>
        <w:tab/>
      </w:r>
      <w:r>
        <w:t xml:space="preserve">Gestion de classe</w:t>
      </w:r>
    </w:p>
    <w:p>
      <w:pPr>
        <w:pStyle w:val="FirstParagraph"/>
      </w:pPr>
      <w:r>
        <w:t xml:space="preserve">(Méta-analyse) La gestion de classe influence les résultats des élèves, notamment sur les plans motivationnels et émotionnels.</w:t>
      </w:r>
      <w:r>
        <w:t xml:space="preserve"> </w:t>
      </w:r>
      <w:r>
        <w:t xml:space="preserve">(Korpershoek et al., 2016)</w:t>
      </w:r>
    </w:p>
    <w:bookmarkEnd w:id="42"/>
    <w:bookmarkEnd w:id="43"/>
    <w:bookmarkStart w:id="70" w:name="contexte-scolaire"/>
    <w:p>
      <w:pPr>
        <w:pStyle w:val="Titre1"/>
      </w:pPr>
      <w:r>
        <w:rPr>
          <w:rStyle w:val="SectionNumber"/>
        </w:rPr>
        <w:t xml:space="preserve">9</w:t>
      </w:r>
      <w:r>
        <w:tab/>
      </w:r>
      <w:r>
        <w:t xml:space="preserve">Contexte scolaire</w:t>
      </w:r>
    </w:p>
    <w:bookmarkStart w:id="44" w:name="contexte-légal"/>
    <w:p>
      <w:pPr>
        <w:pStyle w:val="Titre2"/>
      </w:pPr>
      <w:r>
        <w:rPr>
          <w:rStyle w:val="SectionNumber"/>
        </w:rPr>
        <w:t xml:space="preserve">9.1</w:t>
      </w:r>
      <w:r>
        <w:tab/>
      </w:r>
      <w:r>
        <w:t xml:space="preserve">Contexte légal</w:t>
      </w:r>
    </w:p>
    <w:bookmarkEnd w:id="44"/>
    <w:bookmarkStart w:id="45" w:name="contexte-romand-ou-valaisan"/>
    <w:p>
      <w:pPr>
        <w:pStyle w:val="Titre2"/>
      </w:pPr>
      <w:r>
        <w:rPr>
          <w:rStyle w:val="SectionNumber"/>
        </w:rPr>
        <w:t xml:space="preserve">9.2</w:t>
      </w:r>
      <w:r>
        <w:tab/>
      </w:r>
      <w:r>
        <w:t xml:space="preserve">Contexte romand ou valaisan</w:t>
      </w:r>
    </w:p>
    <w:bookmarkEnd w:id="45"/>
    <w:bookmarkStart w:id="46" w:name="environnement-ou-voisinage-pédagogique"/>
    <w:p>
      <w:pPr>
        <w:pStyle w:val="Titre2"/>
      </w:pPr>
      <w:r>
        <w:rPr>
          <w:rStyle w:val="SectionNumber"/>
        </w:rPr>
        <w:t xml:space="preserve">9.3</w:t>
      </w:r>
      <w:r>
        <w:tab/>
      </w:r>
      <w:r>
        <w:t xml:space="preserve">Environnement ou voisinage pédagogique</w:t>
      </w:r>
    </w:p>
    <w:bookmarkEnd w:id="46"/>
    <w:bookmarkStart w:id="69" w:name="formation-des-enseignantes"/>
    <w:p>
      <w:pPr>
        <w:pStyle w:val="Titre2"/>
      </w:pPr>
      <w:r>
        <w:rPr>
          <w:rStyle w:val="SectionNumber"/>
        </w:rPr>
        <w:t xml:space="preserve">9.4</w:t>
      </w:r>
      <w:r>
        <w:tab/>
      </w:r>
      <w:r>
        <w:t xml:space="preserve">Formation des enseignant·es</w:t>
      </w:r>
    </w:p>
    <w:p>
      <w:pPr>
        <w:pStyle w:val="FirstParagraph"/>
      </w:pPr>
      <w:r>
        <w:t xml:space="preserve">(Proposition théorique) Le travail à partir de la théorie ou les représentations ne convient pas. L’entrée resterait l’expérience.</w:t>
      </w:r>
      <w:r>
        <w:t xml:space="preserve"> </w:t>
      </w:r>
      <w:r>
        <w:t xml:space="preserve">(Willingham, 2017)</w:t>
      </w:r>
    </w:p>
    <w:bookmarkStart w:id="68" w:name="refs"/>
    <w:bookmarkStart w:id="48" w:name="ref-biswas-diener2011"/>
    <w:p>
      <w:pPr>
        <w:pStyle w:val="Bibliographie"/>
      </w:pPr>
      <w:r>
        <w:t xml:space="preserve">Biswas-Diener, R., Kashdan, T. B., &amp; Minhas, G. (2011). A Dynamic Approach to Psychological Strength Development and Intervention.</w:t>
      </w:r>
      <w:r>
        <w:t xml:space="preserve"> </w:t>
      </w:r>
      <w:r>
        <w:rPr>
          <w:iCs/>
          <w:i/>
        </w:rPr>
        <w:t xml:space="preserve">The Journal of Positive Psychology</w:t>
      </w:r>
      <w:r>
        <w:t xml:space="preserve">,</w:t>
      </w:r>
      <w:r>
        <w:t xml:space="preserve"> </w:t>
      </w:r>
      <w:r>
        <w:rPr>
          <w:iCs/>
          <w:i/>
        </w:rPr>
        <w:t xml:space="preserve">6</w:t>
      </w:r>
      <w:r>
        <w:t xml:space="preserve">(2), 106‑118.</w:t>
      </w:r>
      <w:r>
        <w:t xml:space="preserve"> </w:t>
      </w:r>
      <w:hyperlink r:id="rId47">
        <w:r>
          <w:rPr>
            <w:rStyle w:val="Lienhypertexte"/>
          </w:rPr>
          <w:t xml:space="preserve">https://doi.org/10.1080/17439760.2010.545429</w:t>
        </w:r>
      </w:hyperlink>
    </w:p>
    <w:bookmarkEnd w:id="48"/>
    <w:bookmarkStart w:id="50" w:name="ref-burckhardt2016"/>
    <w:p>
      <w:pPr>
        <w:pStyle w:val="Bibliographie"/>
      </w:pPr>
      <w:r>
        <w:t xml:space="preserve">Burckhardt, R., Manicavasagar, V., Batterham, P. J., &amp; Hadzi-Pavlovic, D. (2016). A Randomized Controlled Trial of Strong Minds:</w:t>
      </w:r>
      <w:r>
        <w:t xml:space="preserve"> </w:t>
      </w:r>
      <w:r>
        <w:t xml:space="preserve">A</w:t>
      </w:r>
      <w:r>
        <w:t xml:space="preserve"> </w:t>
      </w:r>
      <w:r>
        <w:t xml:space="preserve">School-Based Mental Health Program Combining Acceptance and Commitment Therapy and Positive Psychology.</w:t>
      </w:r>
      <w:r>
        <w:t xml:space="preserve"> </w:t>
      </w:r>
      <w:r>
        <w:rPr>
          <w:iCs/>
          <w:i/>
        </w:rPr>
        <w:t xml:space="preserve">Journal of School Psychology</w:t>
      </w:r>
      <w:r>
        <w:t xml:space="preserve">,</w:t>
      </w:r>
      <w:r>
        <w:t xml:space="preserve"> </w:t>
      </w:r>
      <w:r>
        <w:rPr>
          <w:iCs/>
          <w:i/>
        </w:rPr>
        <w:t xml:space="preserve">57</w:t>
      </w:r>
      <w:r>
        <w:t xml:space="preserve">, 41‑52.</w:t>
      </w:r>
      <w:r>
        <w:t xml:space="preserve"> </w:t>
      </w:r>
      <w:hyperlink r:id="rId49">
        <w:r>
          <w:rPr>
            <w:rStyle w:val="Lienhypertexte"/>
          </w:rPr>
          <w:t xml:space="preserve">https://doi.org/10.1016/j.jsp.2016.05.008</w:t>
        </w:r>
      </w:hyperlink>
    </w:p>
    <w:bookmarkEnd w:id="50"/>
    <w:bookmarkStart w:id="51" w:name="ref-ebersold2009"/>
    <w:p>
      <w:pPr>
        <w:pStyle w:val="Bibliographie"/>
      </w:pPr>
      <w:r>
        <w:t xml:space="preserve">Ebersold, S. (2009).</w:t>
      </w:r>
      <w:r>
        <w:t xml:space="preserve"> </w:t>
      </w:r>
      <w:r>
        <w:t xml:space="preserve">Inclusion</w:t>
      </w:r>
      <w:r>
        <w:t xml:space="preserve">.</w:t>
      </w:r>
      <w:r>
        <w:t xml:space="preserve"> </w:t>
      </w:r>
      <w:r>
        <w:rPr>
          <w:iCs/>
          <w:i/>
        </w:rPr>
        <w:t xml:space="preserve">Recherche et Formation</w:t>
      </w:r>
      <w:r>
        <w:t xml:space="preserve">,</w:t>
      </w:r>
      <w:r>
        <w:t xml:space="preserve"> </w:t>
      </w:r>
      <w:r>
        <w:rPr>
          <w:iCs/>
          <w:i/>
        </w:rPr>
        <w:t xml:space="preserve">61</w:t>
      </w:r>
      <w:r>
        <w:t xml:space="preserve">, 71‑83.</w:t>
      </w:r>
    </w:p>
    <w:bookmarkEnd w:id="51"/>
    <w:bookmarkStart w:id="53" w:name="ref-gander2018"/>
    <w:p>
      <w:pPr>
        <w:pStyle w:val="Bibliographie"/>
      </w:pPr>
      <w:r>
        <w:t xml:space="preserve">Gander, F., Proyer, R. T., &amp; Ruch, W. (2018). A</w:t>
      </w:r>
      <w:r>
        <w:t xml:space="preserve"> </w:t>
      </w:r>
      <w:r>
        <w:t xml:space="preserve">Placebo</w:t>
      </w:r>
      <w:r>
        <w:t xml:space="preserve">-</w:t>
      </w:r>
      <w:r>
        <w:t xml:space="preserve">Controlled Online Study</w:t>
      </w:r>
      <w:r>
        <w:t xml:space="preserve"> </w:t>
      </w:r>
      <w:r>
        <w:t xml:space="preserve">on</w:t>
      </w:r>
      <w:r>
        <w:t xml:space="preserve"> </w:t>
      </w:r>
      <w:r>
        <w:t xml:space="preserve">Potential Mediators</w:t>
      </w:r>
      <w:r>
        <w:t xml:space="preserve"> </w:t>
      </w:r>
      <w:r>
        <w:t xml:space="preserve">of a</w:t>
      </w:r>
      <w:r>
        <w:t xml:space="preserve"> </w:t>
      </w:r>
      <w:r>
        <w:t xml:space="preserve">Pleasure</w:t>
      </w:r>
      <w:r>
        <w:t xml:space="preserve">-</w:t>
      </w:r>
      <w:r>
        <w:t xml:space="preserve">Based Positive Psychology Intervention</w:t>
      </w:r>
      <w:r>
        <w:t xml:space="preserve">:</w:t>
      </w:r>
      <w:r>
        <w:t xml:space="preserve"> </w:t>
      </w:r>
      <w:r>
        <w:t xml:space="preserve">The Role</w:t>
      </w:r>
      <w:r>
        <w:t xml:space="preserve"> </w:t>
      </w:r>
      <w:r>
        <w:t xml:space="preserve">of</w:t>
      </w:r>
      <w:r>
        <w:t xml:space="preserve"> </w:t>
      </w:r>
      <w:r>
        <w:t xml:space="preserve">Emotional</w:t>
      </w:r>
      <w:r>
        <w:t xml:space="preserve"> </w:t>
      </w:r>
      <w:r>
        <w:t xml:space="preserve">and</w:t>
      </w:r>
      <w:r>
        <w:t xml:space="preserve"> </w:t>
      </w:r>
      <w:r>
        <w:t xml:space="preserve">Cognitive Components</w:t>
      </w:r>
      <w:r>
        <w:t xml:space="preserve">.</w:t>
      </w:r>
      <w:r>
        <w:t xml:space="preserve"> </w:t>
      </w:r>
      <w:r>
        <w:rPr>
          <w:iCs/>
          <w:i/>
        </w:rPr>
        <w:t xml:space="preserve">Journal of Happiness Studies</w:t>
      </w:r>
      <w:r>
        <w:t xml:space="preserve">,</w:t>
      </w:r>
      <w:r>
        <w:t xml:space="preserve"> </w:t>
      </w:r>
      <w:r>
        <w:rPr>
          <w:iCs/>
          <w:i/>
        </w:rPr>
        <w:t xml:space="preserve">19</w:t>
      </w:r>
      <w:r>
        <w:t xml:space="preserve">(7), 2035‑2048.</w:t>
      </w:r>
      <w:r>
        <w:t xml:space="preserve"> </w:t>
      </w:r>
      <w:hyperlink r:id="rId52">
        <w:r>
          <w:rPr>
            <w:rStyle w:val="Lienhypertexte"/>
          </w:rPr>
          <w:t xml:space="preserve">https://doi.org/10.1007/s10902-017-9909-3</w:t>
        </w:r>
      </w:hyperlink>
    </w:p>
    <w:bookmarkEnd w:id="53"/>
    <w:bookmarkStart w:id="55" w:name="ref-kinderman2005"/>
    <w:p>
      <w:pPr>
        <w:pStyle w:val="Bibliographie"/>
      </w:pPr>
      <w:r>
        <w:t xml:space="preserve">Kinderman, P. (2005). A Psychological Model of Mental Disorder.</w:t>
      </w:r>
      <w:r>
        <w:t xml:space="preserve"> </w:t>
      </w:r>
      <w:r>
        <w:rPr>
          <w:iCs/>
          <w:i/>
        </w:rPr>
        <w:t xml:space="preserve">Harvard Review of Psychiatry</w:t>
      </w:r>
      <w:r>
        <w:t xml:space="preserve">,</w:t>
      </w:r>
      <w:r>
        <w:t xml:space="preserve"> </w:t>
      </w:r>
      <w:r>
        <w:rPr>
          <w:iCs/>
          <w:i/>
        </w:rPr>
        <w:t xml:space="preserve">13</w:t>
      </w:r>
      <w:r>
        <w:t xml:space="preserve">(4), 206‑217.</w:t>
      </w:r>
      <w:r>
        <w:t xml:space="preserve"> </w:t>
      </w:r>
      <w:hyperlink r:id="rId54">
        <w:r>
          <w:rPr>
            <w:rStyle w:val="Lienhypertexte"/>
          </w:rPr>
          <w:t xml:space="preserve">https://doi.org/10.1080/10673220500243349</w:t>
        </w:r>
      </w:hyperlink>
    </w:p>
    <w:bookmarkEnd w:id="55"/>
    <w:bookmarkStart w:id="57" w:name="ref-korpershoek2016"/>
    <w:p>
      <w:pPr>
        <w:pStyle w:val="Bibliographie"/>
      </w:pPr>
      <w:r>
        <w:t xml:space="preserve">Korpershoek, H., Harms, T., de Boer, H., van Kuijk, M., &amp; Doolaard, S. (2016). A</w:t>
      </w:r>
      <w:r>
        <w:t xml:space="preserve"> </w:t>
      </w:r>
      <w:r>
        <w:t xml:space="preserve">Meta</w:t>
      </w:r>
      <w:r>
        <w:t xml:space="preserve">-</w:t>
      </w:r>
      <w:r>
        <w:t xml:space="preserve">Analysis</w:t>
      </w:r>
      <w:r>
        <w:t xml:space="preserve"> </w:t>
      </w:r>
      <w:r>
        <w:t xml:space="preserve">of the</w:t>
      </w:r>
      <w:r>
        <w:t xml:space="preserve"> </w:t>
      </w:r>
      <w:r>
        <w:t xml:space="preserve">Effects</w:t>
      </w:r>
      <w:r>
        <w:t xml:space="preserve"> </w:t>
      </w:r>
      <w:r>
        <w:t xml:space="preserve">of</w:t>
      </w:r>
      <w:r>
        <w:t xml:space="preserve"> </w:t>
      </w:r>
      <w:r>
        <w:t xml:space="preserve">Classroom Management Strategies</w:t>
      </w:r>
      <w:r>
        <w:t xml:space="preserve"> </w:t>
      </w:r>
      <w:r>
        <w:t xml:space="preserve">and</w:t>
      </w:r>
      <w:r>
        <w:t xml:space="preserve"> </w:t>
      </w:r>
      <w:r>
        <w:t xml:space="preserve">Classroom Management Programs</w:t>
      </w:r>
      <w:r>
        <w:t xml:space="preserve"> </w:t>
      </w:r>
      <w:r>
        <w:t xml:space="preserve">on</w:t>
      </w:r>
      <w:r>
        <w:t xml:space="preserve"> </w:t>
      </w:r>
      <w:r>
        <w:t xml:space="preserve">Students Academic</w:t>
      </w:r>
      <w:r>
        <w:t xml:space="preserve">,</w:t>
      </w:r>
      <w:r>
        <w:t xml:space="preserve"> </w:t>
      </w:r>
      <w:r>
        <w:t xml:space="preserve">Behavioral</w:t>
      </w:r>
      <w:r>
        <w:t xml:space="preserve">,</w:t>
      </w:r>
      <w:r>
        <w:t xml:space="preserve"> </w:t>
      </w:r>
      <w:r>
        <w:t xml:space="preserve">Emotional</w:t>
      </w:r>
      <w:r>
        <w:t xml:space="preserve">, and</w:t>
      </w:r>
      <w:r>
        <w:t xml:space="preserve"> </w:t>
      </w:r>
      <w:r>
        <w:t xml:space="preserve">Motivational Outcomes</w:t>
      </w:r>
      <w:r>
        <w:t xml:space="preserve">.</w:t>
      </w:r>
      <w:r>
        <w:t xml:space="preserve"> </w:t>
      </w:r>
      <w:r>
        <w:rPr>
          <w:iCs/>
          <w:i/>
        </w:rPr>
        <w:t xml:space="preserve">Review of Educational Research</w:t>
      </w:r>
      <w:r>
        <w:t xml:space="preserve">,</w:t>
      </w:r>
      <w:r>
        <w:t xml:space="preserve"> </w:t>
      </w:r>
      <w:r>
        <w:rPr>
          <w:iCs/>
          <w:i/>
        </w:rPr>
        <w:t xml:space="preserve">86</w:t>
      </w:r>
      <w:r>
        <w:t xml:space="preserve">(3), 643‑680.</w:t>
      </w:r>
      <w:r>
        <w:t xml:space="preserve"> </w:t>
      </w:r>
      <w:hyperlink r:id="rId56">
        <w:r>
          <w:rPr>
            <w:rStyle w:val="Lienhypertexte"/>
          </w:rPr>
          <w:t xml:space="preserve">https://doi.org/10.3102/0034654315626799</w:t>
        </w:r>
      </w:hyperlink>
    </w:p>
    <w:bookmarkEnd w:id="57"/>
    <w:bookmarkStart w:id="59" w:name="ref-lavy2020"/>
    <w:p>
      <w:pPr>
        <w:pStyle w:val="Bibliographie"/>
      </w:pPr>
      <w:r>
        <w:t xml:space="preserve">Lavy, S. (2020). A</w:t>
      </w:r>
      <w:r>
        <w:t xml:space="preserve"> </w:t>
      </w:r>
      <w:r>
        <w:t xml:space="preserve">Review</w:t>
      </w:r>
      <w:r>
        <w:t xml:space="preserve"> </w:t>
      </w:r>
      <w:r>
        <w:t xml:space="preserve">of</w:t>
      </w:r>
      <w:r>
        <w:t xml:space="preserve"> </w:t>
      </w:r>
      <w:r>
        <w:t xml:space="preserve">Character Strengths Interventions</w:t>
      </w:r>
      <w:r>
        <w:t xml:space="preserve"> </w:t>
      </w:r>
      <w:r>
        <w:t xml:space="preserve">in</w:t>
      </w:r>
      <w:r>
        <w:t xml:space="preserve"> </w:t>
      </w:r>
      <w:r>
        <w:t xml:space="preserve">Twenty</w:t>
      </w:r>
      <w:r>
        <w:t xml:space="preserve">-</w:t>
      </w:r>
      <w:r>
        <w:t xml:space="preserve">First</w:t>
      </w:r>
      <w:r>
        <w:t xml:space="preserve">-</w:t>
      </w:r>
      <w:r>
        <w:t xml:space="preserve">Century Schools</w:t>
      </w:r>
      <w:r>
        <w:t xml:space="preserve">: Their</w:t>
      </w:r>
      <w:r>
        <w:t xml:space="preserve"> </w:t>
      </w:r>
      <w:r>
        <w:t xml:space="preserve">Importance</w:t>
      </w:r>
      <w:r>
        <w:t xml:space="preserve"> </w:t>
      </w:r>
      <w:r>
        <w:t xml:space="preserve">and</w:t>
      </w:r>
      <w:r>
        <w:t xml:space="preserve"> </w:t>
      </w:r>
      <w:r>
        <w:t xml:space="preserve">How</w:t>
      </w:r>
      <w:r>
        <w:t xml:space="preserve"> </w:t>
      </w:r>
      <w:r>
        <w:t xml:space="preserve">They Can Be</w:t>
      </w:r>
      <w:r>
        <w:t xml:space="preserve"> </w:t>
      </w:r>
      <w:r>
        <w:t xml:space="preserve">Fostered</w:t>
      </w:r>
      <w:r>
        <w:t xml:space="preserve">.</w:t>
      </w:r>
      <w:r>
        <w:t xml:space="preserve"> </w:t>
      </w:r>
      <w:r>
        <w:rPr>
          <w:iCs/>
          <w:i/>
        </w:rPr>
        <w:t xml:space="preserve">Applied Research in Quality of Life</w:t>
      </w:r>
      <w:r>
        <w:t xml:space="preserve">,</w:t>
      </w:r>
      <w:r>
        <w:t xml:space="preserve"> </w:t>
      </w:r>
      <w:r>
        <w:rPr>
          <w:iCs/>
          <w:i/>
        </w:rPr>
        <w:t xml:space="preserve">15</w:t>
      </w:r>
      <w:r>
        <w:t xml:space="preserve">(2), 573‑596.</w:t>
      </w:r>
      <w:r>
        <w:t xml:space="preserve"> </w:t>
      </w:r>
      <w:hyperlink r:id="rId58">
        <w:r>
          <w:rPr>
            <w:rStyle w:val="Lienhypertexte"/>
          </w:rPr>
          <w:t xml:space="preserve">https://doi.org/10.1007/s11482-018-9700-6</w:t>
        </w:r>
      </w:hyperlink>
    </w:p>
    <w:bookmarkEnd w:id="59"/>
    <w:bookmarkStart w:id="60" w:name="ref-madden2011"/>
    <w:p>
      <w:pPr>
        <w:pStyle w:val="Bibliographie"/>
      </w:pPr>
      <w:r>
        <w:t xml:space="preserve">Madden, W., Green, S., &amp; Grant, A. M. (2011). A Pilot Study Evaluating Strengths-Based Coaching for Primary School Students:</w:t>
      </w:r>
      <w:r>
        <w:t xml:space="preserve"> </w:t>
      </w:r>
      <w:r>
        <w:t xml:space="preserve">Enhancing</w:t>
      </w:r>
      <w:r>
        <w:t xml:space="preserve"> </w:t>
      </w:r>
      <w:r>
        <w:t xml:space="preserve">Engagement and Hope.</w:t>
      </w:r>
      <w:r>
        <w:t xml:space="preserve"> </w:t>
      </w:r>
      <w:r>
        <w:rPr>
          <w:iCs/>
          <w:i/>
        </w:rPr>
        <w:t xml:space="preserve">International Coaching Psychology Review</w:t>
      </w:r>
      <w:r>
        <w:t xml:space="preserve">,</w:t>
      </w:r>
      <w:r>
        <w:t xml:space="preserve"> </w:t>
      </w:r>
      <w:r>
        <w:rPr>
          <w:iCs/>
          <w:i/>
        </w:rPr>
        <w:t xml:space="preserve">6</w:t>
      </w:r>
      <w:r>
        <w:t xml:space="preserve">(1), 71‑83.</w:t>
      </w:r>
    </w:p>
    <w:bookmarkEnd w:id="60"/>
    <w:bookmarkStart w:id="62" w:name="ref-obsuth2017"/>
    <w:p>
      <w:pPr>
        <w:pStyle w:val="Bibliographie"/>
      </w:pPr>
      <w:r>
        <w:t xml:space="preserve">Obsuth, I., Murray, A. L., Malti, T., Sulger, P., Ribeaud, D., &amp; Eisner, M. (2017). A</w:t>
      </w:r>
      <w:r>
        <w:t xml:space="preserve"> </w:t>
      </w:r>
      <w:r>
        <w:t xml:space="preserve">Non</w:t>
      </w:r>
      <w:r>
        <w:t xml:space="preserve">-Bipartite</w:t>
      </w:r>
      <w:r>
        <w:t xml:space="preserve"> </w:t>
      </w:r>
      <w:r>
        <w:t xml:space="preserve">Propensity Score Analysis</w:t>
      </w:r>
      <w:r>
        <w:t xml:space="preserve"> </w:t>
      </w:r>
      <w:r>
        <w:t xml:space="preserve">of the</w:t>
      </w:r>
      <w:r>
        <w:t xml:space="preserve"> </w:t>
      </w:r>
      <w:r>
        <w:t xml:space="preserve">Effects</w:t>
      </w:r>
      <w:r>
        <w:t xml:space="preserve"> </w:t>
      </w:r>
      <w:r>
        <w:t xml:space="preserve">of</w:t>
      </w:r>
      <w:r>
        <w:t xml:space="preserve"> </w:t>
      </w:r>
      <w:r>
        <w:t xml:space="preserve">Teacher</w:t>
      </w:r>
      <w:r>
        <w:t xml:space="preserve">-</w:t>
      </w:r>
      <w:r>
        <w:t xml:space="preserve">Student Relationships</w:t>
      </w:r>
      <w:r>
        <w:t xml:space="preserve"> </w:t>
      </w:r>
      <w:r>
        <w:t xml:space="preserve">on</w:t>
      </w:r>
      <w:r>
        <w:t xml:space="preserve"> </w:t>
      </w:r>
      <w:r>
        <w:t xml:space="preserve">Adolescent Problem</w:t>
      </w:r>
      <w:r>
        <w:t xml:space="preserve"> </w:t>
      </w:r>
      <w:r>
        <w:t xml:space="preserve">and</w:t>
      </w:r>
      <w:r>
        <w:t xml:space="preserve"> </w:t>
      </w:r>
      <w:r>
        <w:t xml:space="preserve">Prosocial Behavior</w:t>
      </w:r>
      <w:r>
        <w:t xml:space="preserve">.</w:t>
      </w:r>
      <w:r>
        <w:t xml:space="preserve"> </w:t>
      </w:r>
      <w:r>
        <w:rPr>
          <w:iCs/>
          <w:i/>
        </w:rPr>
        <w:t xml:space="preserve">Journal of Youth and Adolescence</w:t>
      </w:r>
      <w:r>
        <w:t xml:space="preserve">,</w:t>
      </w:r>
      <w:r>
        <w:t xml:space="preserve"> </w:t>
      </w:r>
      <w:r>
        <w:rPr>
          <w:iCs/>
          <w:i/>
        </w:rPr>
        <w:t xml:space="preserve">46</w:t>
      </w:r>
      <w:r>
        <w:t xml:space="preserve">(8), 1661‑1687.</w:t>
      </w:r>
      <w:r>
        <w:t xml:space="preserve"> </w:t>
      </w:r>
      <w:hyperlink r:id="rId61">
        <w:r>
          <w:rPr>
            <w:rStyle w:val="Lienhypertexte"/>
          </w:rPr>
          <w:t xml:space="preserve">https://doi.org/10.1007/s10964-016-0534-y</w:t>
        </w:r>
      </w:hyperlink>
    </w:p>
    <w:bookmarkEnd w:id="62"/>
    <w:bookmarkStart w:id="63" w:name="ref-white2015a"/>
    <w:p>
      <w:pPr>
        <w:pStyle w:val="Bibliographie"/>
      </w:pPr>
      <w:r>
        <w:t xml:space="preserve">White, M. A., Murray, A. S., &amp; Seligman, M. E. P. (2015).</w:t>
      </w:r>
      <w:r>
        <w:t xml:space="preserve"> </w:t>
      </w:r>
      <w:r>
        <w:rPr>
          <w:iCs/>
          <w:i/>
        </w:rPr>
        <w:t xml:space="preserve">Evidence-Based Approaches in Positive Education: Implementing a Strategic Framework for Well-Being in Schools</w:t>
      </w:r>
      <w:r>
        <w:t xml:space="preserve">.</w:t>
      </w:r>
    </w:p>
    <w:bookmarkEnd w:id="63"/>
    <w:bookmarkStart w:id="65" w:name="ref-willingham2017"/>
    <w:p>
      <w:pPr>
        <w:pStyle w:val="Bibliographie"/>
      </w:pPr>
      <w:r>
        <w:t xml:space="preserve">Willingham, D. T. (2017). A</w:t>
      </w:r>
      <w:r>
        <w:t xml:space="preserve"> </w:t>
      </w:r>
      <w:r>
        <w:t xml:space="preserve">Mental Model</w:t>
      </w:r>
      <w:r>
        <w:t xml:space="preserve"> </w:t>
      </w:r>
      <w:r>
        <w:t xml:space="preserve">of the</w:t>
      </w:r>
      <w:r>
        <w:t xml:space="preserve"> </w:t>
      </w:r>
      <w:r>
        <w:t xml:space="preserve">Learner</w:t>
      </w:r>
      <w:r>
        <w:t xml:space="preserve"> </w:t>
      </w:r>
      <w:r>
        <w:t xml:space="preserve">:</w:t>
      </w:r>
      <w:r>
        <w:t xml:space="preserve"> </w:t>
      </w:r>
      <w:r>
        <w:t xml:space="preserve">Teaching</w:t>
      </w:r>
      <w:r>
        <w:t xml:space="preserve"> </w:t>
      </w:r>
      <w:r>
        <w:t xml:space="preserve">the</w:t>
      </w:r>
      <w:r>
        <w:t xml:space="preserve"> </w:t>
      </w:r>
      <w:r>
        <w:t xml:space="preserve">Basic Science</w:t>
      </w:r>
      <w:r>
        <w:t xml:space="preserve"> </w:t>
      </w:r>
      <w:r>
        <w:t xml:space="preserve">of</w:t>
      </w:r>
      <w:r>
        <w:t xml:space="preserve"> </w:t>
      </w:r>
      <w:r>
        <w:t xml:space="preserve">Educational Psychology</w:t>
      </w:r>
      <w:r>
        <w:t xml:space="preserve"> </w:t>
      </w:r>
      <w:r>
        <w:t xml:space="preserve">to</w:t>
      </w:r>
      <w:r>
        <w:t xml:space="preserve"> </w:t>
      </w:r>
      <w:r>
        <w:t xml:space="preserve">Future Teachers</w:t>
      </w:r>
      <w:r>
        <w:t xml:space="preserve">.</w:t>
      </w:r>
      <w:r>
        <w:t xml:space="preserve"> </w:t>
      </w:r>
      <w:r>
        <w:rPr>
          <w:iCs/>
          <w:i/>
        </w:rPr>
        <w:t xml:space="preserve">Mind, Brain, and Education</w:t>
      </w:r>
      <w:r>
        <w:t xml:space="preserve">,</w:t>
      </w:r>
      <w:r>
        <w:t xml:space="preserve"> </w:t>
      </w:r>
      <w:r>
        <w:rPr>
          <w:iCs/>
          <w:i/>
        </w:rPr>
        <w:t xml:space="preserve">11</w:t>
      </w:r>
      <w:r>
        <w:t xml:space="preserve">(4), 166‑175.</w:t>
      </w:r>
      <w:r>
        <w:t xml:space="preserve"> </w:t>
      </w:r>
      <w:hyperlink r:id="rId64">
        <w:r>
          <w:rPr>
            <w:rStyle w:val="Lienhypertexte"/>
          </w:rPr>
          <w:t xml:space="preserve">https://doi.org/10.1111/mbe.12155</w:t>
        </w:r>
      </w:hyperlink>
    </w:p>
    <w:bookmarkEnd w:id="65"/>
    <w:bookmarkStart w:id="67" w:name="ref-yelinek2017"/>
    <w:p>
      <w:pPr>
        <w:pStyle w:val="Bibliographie"/>
      </w:pPr>
      <w:r>
        <w:t xml:space="preserve">Yelinek, J., &amp; Grady, J. S. (2017).</w:t>
      </w:r>
      <w:r>
        <w:t xml:space="preserve"> </w:t>
      </w:r>
      <w:r>
        <w:t xml:space="preserve">“</w:t>
      </w:r>
      <w:r>
        <w:t xml:space="preserve">Show</w:t>
      </w:r>
      <w:r>
        <w:t xml:space="preserve"> </w:t>
      </w:r>
      <w:r>
        <w:t xml:space="preserve">Me Your Mad Faces!”</w:t>
      </w:r>
      <w:r>
        <w:t xml:space="preserve"> </w:t>
      </w:r>
      <w:r>
        <w:t xml:space="preserve">Preschool Teachers’ Emotion Talk in the Classroom.</w:t>
      </w:r>
      <w:r>
        <w:t xml:space="preserve"> </w:t>
      </w:r>
      <w:r>
        <w:rPr>
          <w:iCs/>
          <w:i/>
        </w:rPr>
        <w:t xml:space="preserve">Early Child Development and Care</w:t>
      </w:r>
      <w:r>
        <w:t xml:space="preserve">,</w:t>
      </w:r>
      <w:r>
        <w:t xml:space="preserve"> </w:t>
      </w:r>
      <w:r>
        <w:rPr>
          <w:iCs/>
          <w:i/>
        </w:rPr>
        <w:t xml:space="preserve">189</w:t>
      </w:r>
      <w:r>
        <w:t xml:space="preserve">(7), 1063‑1071.</w:t>
      </w:r>
      <w:r>
        <w:t xml:space="preserve"> </w:t>
      </w:r>
      <w:hyperlink r:id="rId66">
        <w:r>
          <w:rPr>
            <w:rStyle w:val="Lienhypertexte"/>
          </w:rPr>
          <w:t xml:space="preserve">https://doi.org/10.1080/03004430.2017.1363740</w:t>
        </w:r>
      </w:hyperlink>
    </w:p>
    <w:bookmarkEnd w:id="67"/>
    <w:bookmarkEnd w:id="68"/>
    <w:bookmarkEnd w:id="69"/>
    <w:bookmarkEnd w:id="70"/>
    <w:sectPr w:rsidR="00723F40" w:rsidRPr="00C634E0" w:rsidSect="00C634E0">
      <w:headerReference w:type="default" r:id="rId9"/>
      <w:footerReference w:type="default" r:id="rId10"/>
      <w:pgSz w:w="11901" w:h="16817"/>
      <w:pgMar w:top="2404"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6D92D" w14:textId="3BA6C700" w:rsidR="00C634E0" w:rsidRPr="00C634E0" w:rsidRDefault="00681A32" w:rsidP="00F77CBA">
    <w:pPr>
      <w:pStyle w:val="Pieddepage"/>
      <w:tabs>
        <w:tab w:val="clear" w:pos="9072"/>
        <w:tab w:val="right" w:pos="9065"/>
      </w:tabs>
      <w:rPr>
        <w:rFonts w:asciiTheme="majorHAnsi" w:hAnsiTheme="majorHAnsi" w:cstheme="majorHAnsi"/>
        <w:lang w:val="fr-CH"/>
      </w:rPr>
    </w:pPr>
    <w:r>
      <w:rPr>
        <w:noProof/>
      </w:rPr>
      <mc:AlternateContent>
        <mc:Choice Requires="wps">
          <w:drawing>
            <wp:anchor distT="0" distB="0" distL="114300" distR="114300" simplePos="0" relativeHeight="251661312" behindDoc="0" locked="0" layoutInCell="1" allowOverlap="1" wp14:anchorId="082D0EE4" wp14:editId="082C91D2">
              <wp:simplePos x="0" y="0"/>
              <wp:positionH relativeFrom="column">
                <wp:posOffset>-894715</wp:posOffset>
              </wp:positionH>
              <wp:positionV relativeFrom="paragraph">
                <wp:posOffset>-28864</wp:posOffset>
              </wp:positionV>
              <wp:extent cx="175846" cy="669290"/>
              <wp:effectExtent l="0" t="0" r="2540" b="3810"/>
              <wp:wrapNone/>
              <wp:docPr id="2" name="Rectangle 2"/>
              <wp:cNvGraphicFramePr/>
              <a:graphic xmlns:a="http://schemas.openxmlformats.org/drawingml/2006/main">
                <a:graphicData uri="http://schemas.microsoft.com/office/word/2010/wordprocessingShape">
                  <wps:wsp>
                    <wps:cNvSpPr/>
                    <wps:spPr>
                      <a:xfrm>
                        <a:off x="0" y="0"/>
                        <a:ext cx="175846" cy="669290"/>
                      </a:xfrm>
                      <a:prstGeom prst="rect">
                        <a:avLst/>
                      </a:prstGeom>
                      <a:solidFill>
                        <a:srgbClr val="D220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56F67" id="Rectangle 2" o:spid="_x0000_s1026" style="position:absolute;margin-left:-70.45pt;margin-top:-2.25pt;width:13.85pt;height:5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" fillcolor="#d2202b" stroked="f" strokeweight="2pt"/>
          </w:pict>
        </mc:Fallback>
      </mc:AlternateContent>
    </w:r>
    <w:r w:rsidR="00F77CBA">
      <w:rPr>
        <w:rFonts w:asciiTheme="majorHAnsi" w:hAnsiTheme="majorHAnsi" w:cstheme="majorHAnsi"/>
        <w:lang w:val="fr-CH"/>
      </w:rPr>
      <w:t xml:space="preserve">Version générée le : </w:t>
    </w:r>
    <w:r w:rsidR="00F77CBA">
      <w:rPr>
        <w:rFonts w:asciiTheme="majorHAnsi" w:hAnsiTheme="majorHAnsi" w:cstheme="majorHAnsi"/>
        <w:lang w:val="fr-CH"/>
      </w:rPr>
      <w:fldChar w:fldCharType="begin"/>
    </w:r>
    <w:r w:rsidR="00F77CBA">
      <w:rPr>
        <w:rFonts w:asciiTheme="majorHAnsi" w:hAnsiTheme="majorHAnsi" w:cstheme="majorHAnsi"/>
        <w:lang w:val="fr-CH"/>
      </w:rPr>
      <w:instrText xml:space="preserve"> CREATEDATE </w:instrText>
    </w:r>
    <w:r w:rsidR="00F77CBA">
      <w:rPr>
        <w:rFonts w:asciiTheme="majorHAnsi" w:hAnsiTheme="majorHAnsi" w:cstheme="majorHAnsi"/>
        <w:lang w:val="fr-CH"/>
      </w:rPr>
      <w:fldChar w:fldCharType="separate"/>
    </w:r>
    <w:r w:rsidR="00F77CBA">
      <w:rPr>
        <w:rFonts w:asciiTheme="majorHAnsi" w:hAnsiTheme="majorHAnsi" w:cstheme="majorHAnsi"/>
        <w:noProof/>
        <w:lang w:val="fr-CH"/>
      </w:rPr>
      <w:t>22.10.20 10:14:00</w:t>
    </w:r>
    <w:r w:rsidR="00F77CBA">
      <w:rPr>
        <w:rFonts w:asciiTheme="majorHAnsi" w:hAnsiTheme="majorHAnsi" w:cstheme="majorHAnsi"/>
        <w:lang w:val="fr-CH"/>
      </w:rPr>
      <w:fldChar w:fldCharType="end"/>
    </w:r>
    <w:r w:rsidR="00F77CBA">
      <w:rPr>
        <w:rFonts w:asciiTheme="majorHAnsi" w:hAnsiTheme="majorHAnsi" w:cstheme="majorHAnsi"/>
        <w:lang w:val="fr-CH"/>
      </w:rPr>
      <w:tab/>
    </w:r>
    <w:r w:rsidR="00F77CBA">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9ADF" w14:textId="7F4360DF" w:rsidR="00C634E0" w:rsidRDefault="00C634E0">
    <w:pPr>
      <w:pStyle w:val="En-tte"/>
    </w:pPr>
    <w:r>
      <w:rPr>
        <w:noProof/>
        <w:lang w:eastAsia="de-CH"/>
      </w:rPr>
      <w:drawing>
        <wp:anchor distT="0" distB="0" distL="114300" distR="114300" simplePos="0" relativeHeight="251659264" behindDoc="0" locked="1" layoutInCell="1" allowOverlap="1" wp14:anchorId="56E84A8A" wp14:editId="31CFE421">
          <wp:simplePos x="0" y="0"/>
          <wp:positionH relativeFrom="page">
            <wp:posOffset>5128260</wp:posOffset>
          </wp:positionH>
          <wp:positionV relativeFrom="page">
            <wp:posOffset>457200</wp:posOffset>
          </wp:positionV>
          <wp:extent cx="1799590" cy="651510"/>
          <wp:effectExtent l="0" t="0" r="3810" b="0"/>
          <wp:wrapNone/>
          <wp:docPr id="1" name="Grafik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 picture containing object, clock&#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99590" cy="6515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2F469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44E5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DE54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5E01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6EA2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40BF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E868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0CFD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F0A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2A1C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7ED5"/>
    <w:pPr>
      <w:jc w:val="both"/>
    </w:pPr>
    <w:rPr>
      <w:rFonts w:ascii="Calibri Light" w:hAnsi="Calibri Light"/>
    </w:rPr>
  </w:style>
  <w:style w:type="paragraph" w:styleId="Titre1">
    <w:name w:val="heading 1"/>
    <w:basedOn w:val="Normal"/>
    <w:next w:val="Corpsdetexte"/>
    <w:uiPriority w:val="9"/>
    <w:qFormat/>
    <w:rsid w:val="00C634E0"/>
    <w:pPr>
      <w:keepNext/>
      <w:keepLines/>
      <w:spacing w:before="480" w:after="0"/>
      <w:outlineLvl w:val="0"/>
    </w:pPr>
    <w:rPr>
      <w:rFonts w:asciiTheme="majorHAnsi" w:eastAsiaTheme="majorEastAsia" w:hAnsiTheme="majorHAnsi" w:cstheme="majorBidi"/>
      <w:b/>
      <w:bCs/>
      <w:color w:val="D2202B"/>
      <w:sz w:val="32"/>
      <w:szCs w:val="32"/>
    </w:rPr>
  </w:style>
  <w:style w:type="paragraph" w:styleId="Titre2">
    <w:name w:val="heading 2"/>
    <w:basedOn w:val="Normal"/>
    <w:next w:val="Corpsdetexte"/>
    <w:uiPriority w:val="9"/>
    <w:unhideWhenUsed/>
    <w:qFormat/>
    <w:rsid w:val="00C634E0"/>
    <w:pPr>
      <w:keepNext/>
      <w:keepLines/>
      <w:spacing w:before="200" w:after="0"/>
      <w:outlineLvl w:val="1"/>
    </w:pPr>
    <w:rPr>
      <w:rFonts w:asciiTheme="majorHAnsi" w:eastAsiaTheme="majorEastAsia" w:hAnsiTheme="majorHAnsi" w:cstheme="majorBidi"/>
      <w:b/>
      <w:bCs/>
      <w:color w:val="D2202B"/>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0B3055"/>
    <w:pPr>
      <w:spacing w:before="180" w:after="180"/>
    </w:pPr>
    <w:rPr>
      <w:rFonts w:ascii="Calibri" w:hAnsi="Calibri" w:cs="Calibri"/>
    </w:rPr>
  </w:style>
  <w:style w:type="paragraph" w:customStyle="1" w:styleId="FirstParagraph">
    <w:name w:val="First Paragraph"/>
    <w:basedOn w:val="Corpsdetexte"/>
    <w:next w:val="Corpsdetexte"/>
    <w:qFormat/>
    <w:rsid w:val="004F6149"/>
  </w:style>
  <w:style w:type="paragraph" w:customStyle="1" w:styleId="Compact">
    <w:name w:val="Compact"/>
    <w:basedOn w:val="Corpsdetexte"/>
    <w:qFormat/>
    <w:rsid w:val="00861BAD"/>
    <w:pPr>
      <w:spacing w:before="36" w:after="36"/>
    </w:pPr>
    <w:rPr>
      <w:rFonts w:ascii="Calibri Light" w:hAnsi="Calibri Light"/>
    </w:rPr>
  </w:style>
  <w:style w:type="paragraph" w:styleId="Titre">
    <w:name w:val="Title"/>
    <w:basedOn w:val="Normal"/>
    <w:next w:val="Corpsdetexte"/>
    <w:qFormat/>
    <w:rsid w:val="00C634E0"/>
    <w:pPr>
      <w:keepNext/>
      <w:keepLines/>
      <w:spacing w:before="480" w:after="240"/>
      <w:jc w:val="center"/>
    </w:pPr>
    <w:rPr>
      <w:rFonts w:asciiTheme="majorHAnsi" w:eastAsiaTheme="majorEastAsia" w:hAnsiTheme="majorHAnsi" w:cstheme="majorBidi"/>
      <w:b/>
      <w:bCs/>
      <w:color w:val="D2202B"/>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C634E0"/>
    <w:pPr>
      <w:keepNext/>
      <w:keepLines/>
      <w:jc w:val="center"/>
    </w:pPr>
    <w:rPr>
      <w:rFonts w:asciiTheme="majorHAnsi" w:hAnsiTheme="majorHAnsi" w:cstheme="majorHAnsi"/>
    </w:rPr>
  </w:style>
  <w:style w:type="paragraph" w:styleId="Date">
    <w:name w:val="Date"/>
    <w:next w:val="Corpsdetexte"/>
    <w:qFormat/>
    <w:rsid w:val="00C634E0"/>
    <w:pPr>
      <w:keepNext/>
      <w:keepLines/>
      <w:jc w:val="center"/>
    </w:pPr>
    <w:rPr>
      <w:rFonts w:asciiTheme="majorHAnsi" w:hAnsiTheme="majorHAnsi" w:cstheme="majorHAnsi"/>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C634E0"/>
    <w:pPr>
      <w:ind w:left="567" w:hanging="567"/>
    </w:pPr>
    <w:rPr>
      <w:rFonts w:asciiTheme="majorHAnsi" w:hAnsiTheme="majorHAnsi"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61BAD"/>
    <w:pPr>
      <w:keepNext/>
      <w:jc w:val="center"/>
    </w:pPr>
    <w:rPr>
      <w:color w:val="D2202B"/>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0B3055"/>
    <w:rPr>
      <w:rFonts w:ascii="Calibri" w:hAnsi="Calibri" w:cs="Calibri"/>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C634E0"/>
    <w:pPr>
      <w:tabs>
        <w:tab w:val="center" w:pos="4536"/>
        <w:tab w:val="right" w:pos="9072"/>
      </w:tabs>
      <w:spacing w:after="0"/>
    </w:pPr>
  </w:style>
  <w:style w:type="character" w:customStyle="1" w:styleId="PieddepageCar">
    <w:name w:val="Pied de page Car"/>
    <w:basedOn w:val="Policepardfaut"/>
    <w:link w:val="Pieddepage"/>
    <w:rsid w:val="00C634E0"/>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5268F"/>
    <w:pPr>
      <w:jc w:val="center"/>
    </w:pPr>
    <w:rPr>
      <w:rFonts w:asciiTheme="majorHAnsi" w:hAnsiTheme="majorHAnsi" w:cstheme="majorHAnsi"/>
      <w:i/>
      <w:iCs/>
      <w:color w:val="D2202B"/>
    </w:rPr>
  </w:style>
  <w:style w:type="character" w:customStyle="1" w:styleId="captionnbCar">
    <w:name w:val="caption_nb Car"/>
    <w:basedOn w:val="Policepardfaut"/>
    <w:link w:val="captionnb"/>
    <w:rsid w:val="0085268F"/>
    <w:rPr>
      <w:rFonts w:asciiTheme="majorHAnsi" w:hAnsiTheme="majorHAnsi" w:cstheme="majorHAnsi"/>
      <w:i/>
      <w:iCs/>
      <w:color w:val="D2202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52" Target="https://doi.org/10.1007/s10902-017-9909-3" TargetMode="External" /><Relationship Type="http://schemas.openxmlformats.org/officeDocument/2006/relationships/hyperlink" Id="rId61" Target="https://doi.org/10.1007/s10964-016-0534-y" TargetMode="External" /><Relationship Type="http://schemas.openxmlformats.org/officeDocument/2006/relationships/hyperlink" Id="rId58" Target="https://doi.org/10.1007/s11482-018-9700-6" TargetMode="External" /><Relationship Type="http://schemas.openxmlformats.org/officeDocument/2006/relationships/hyperlink" Id="rId49" Target="https://doi.org/10.1016/j.jsp.2016.05.008" TargetMode="External" /><Relationship Type="http://schemas.openxmlformats.org/officeDocument/2006/relationships/hyperlink" Id="rId66" Target="https://doi.org/10.1080/03004430.2017.1363740" TargetMode="External" /><Relationship Type="http://schemas.openxmlformats.org/officeDocument/2006/relationships/hyperlink" Id="rId54" Target="https://doi.org/10.1080/10673220500243349" TargetMode="External" /><Relationship Type="http://schemas.openxmlformats.org/officeDocument/2006/relationships/hyperlink" Id="rId47" Target="https://doi.org/10.1080/17439760.2010.545429" TargetMode="External" /><Relationship Type="http://schemas.openxmlformats.org/officeDocument/2006/relationships/hyperlink" Id="rId64" Target="https://doi.org/10.1111/mbe.12155" TargetMode="External" /><Relationship Type="http://schemas.openxmlformats.org/officeDocument/2006/relationships/hyperlink" Id="rId56" Target="https://doi.org/10.3102/0034654315626799"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07/s10902-017-9909-3" TargetMode="External" /><Relationship Type="http://schemas.openxmlformats.org/officeDocument/2006/relationships/hyperlink" Id="rId61" Target="https://doi.org/10.1007/s10964-016-0534-y" TargetMode="External" /><Relationship Type="http://schemas.openxmlformats.org/officeDocument/2006/relationships/hyperlink" Id="rId58" Target="https://doi.org/10.1007/s11482-018-9700-6" TargetMode="External" /><Relationship Type="http://schemas.openxmlformats.org/officeDocument/2006/relationships/hyperlink" Id="rId49" Target="https://doi.org/10.1016/j.jsp.2016.05.008" TargetMode="External" /><Relationship Type="http://schemas.openxmlformats.org/officeDocument/2006/relationships/hyperlink" Id="rId66" Target="https://doi.org/10.1080/03004430.2017.1363740" TargetMode="External" /><Relationship Type="http://schemas.openxmlformats.org/officeDocument/2006/relationships/hyperlink" Id="rId54" Target="https://doi.org/10.1080/10673220500243349" TargetMode="External" /><Relationship Type="http://schemas.openxmlformats.org/officeDocument/2006/relationships/hyperlink" Id="rId47" Target="https://doi.org/10.1080/17439760.2010.545429" TargetMode="External" /><Relationship Type="http://schemas.openxmlformats.org/officeDocument/2006/relationships/hyperlink" Id="rId64" Target="https://doi.org/10.1111/mbe.12155" TargetMode="External" /><Relationship Type="http://schemas.openxmlformats.org/officeDocument/2006/relationships/hyperlink" Id="rId56" Target="https://doi.org/10.3102/0034654315626799"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du cadre théorique avec références</dc:title>
  <dc:creator>Nicolas Bressoud</dc:creator>
  <dc:language>fr</dc:language>
  <cp:keywords/>
  <dcterms:created xsi:type="dcterms:W3CDTF">2021-02-04T09:55:09Z</dcterms:created>
  <dcterms:modified xsi:type="dcterms:W3CDTF">2021-02-04T09:55:09Z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library_github_m1.bib</vt:lpwstr>
  </property>
  <property fmtid="{D5CDD505-2E9C-101B-9397-08002B2CF9AE}" pid="3" name="csl">
    <vt:lpwstr>apa.csl</vt:lpwstr>
  </property>
  <property fmtid="{D5CDD505-2E9C-101B-9397-08002B2CF9AE}" pid="4" name="date">
    <vt:lpwstr>janvier 2021</vt:lpwstr>
  </property>
  <property fmtid="{D5CDD505-2E9C-101B-9397-08002B2CF9AE}" pid="5" name="output">
    <vt:lpwstr/>
  </property>
  <property fmtid="{D5CDD505-2E9C-101B-9397-08002B2CF9AE}" pid="6" name="toc-title">
    <vt:lpwstr>Table des matières</vt:lpwstr>
  </property>
</Properties>
</file>