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Préparer sa livraison de visières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Comment livrer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Les couvertures transparentes doivent être livrées perforées.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 : Pensez à arrondir les angles des couvertures transparentes.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Préparer un exemplaire de votre commande entièrement monté. il servira d’exemple pour les utilisateurs.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Pour le reste de la commande, il est préférable de ne pas réaliser le montage des visières afin de faciliter la prise en charge des livraisons 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Moins de manipulations lors de la fabrication et de la préparation.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Moins volumineux à transporter.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Moins de risque de les abîmer avant leur utilisation.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Par exemple : Les couvertures transparentes, une fois préparées, peuvent être placées dans une pochettes (type classeur) par paquet de 5 ou 10 unités pour les protéger lors du transport.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Fiche d’accompagnement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Votre livraison de visières doit être accompagnée de la fiche “NOTE AUX UTILISATEURS DES VISIERES SOLIDAIRES 44”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Emballage 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Les visières sont principalement utilisées dans le domaine médical. utiliser des sacs ou cartons propres.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