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IEEE-PDF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IEEE-DOCX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IEEE-HTML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SLIDES-PDF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1e69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90c7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89bf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