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left"/>
      </w:pPr>
      <w:r>
        <w:rPr>
          <w:rFonts w:ascii="Arial" w:cs="Arial" w:eastAsia="Arial" w:hAnsi="Arial"/>
          <w:b/>
          <w:bCs/>
          <w:color w:val="999999"/>
          <w:spacing w:val="200"/>
          <w:sz w:val="20"/>
          <w:szCs w:val="20"/>
        </w:rPr>
        <w:t xml:space="preserve">THE STARR CONSPIRACY</w:t>
      </w:r>
    </w:p>
    <w:p>
      <w:pPr>
        <w:spacing w:before="120" w:after="120"/>
      </w:pPr>
    </w:p>
    <w:p>
      <w:pPr>
        <w:spacing w:after="0"/>
      </w:pPr>
      <w:r>
        <w:rPr>
          <w:rFonts w:ascii="Arial" w:cs="Arial" w:eastAsia="Arial" w:hAnsi="Arial"/>
          <w:b/>
          <w:bCs/>
          <w:color w:val="000000"/>
          <w:sz w:val="56"/>
          <w:szCs w:val="56"/>
        </w:rPr>
        <w:t xml:space="preserve">Company Values &amp;</w:t>
      </w:r>
    </w:p>
    <w:p>
      <w:pPr>
        <w:spacing w:after="240"/>
      </w:pPr>
      <w:r>
        <w:rPr>
          <w:rFonts w:ascii="Arial" w:cs="Arial" w:eastAsia="Arial" w:hAnsi="Arial"/>
          <w:b/>
          <w:bCs/>
          <w:color w:val="000000"/>
          <w:sz w:val="56"/>
          <w:szCs w:val="56"/>
        </w:rPr>
        <w:t xml:space="preserve">Brand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200" w:after="200"/>
      </w:pPr>
    </w:p>
    <w:p>
      <w:pPr>
        <w:spacing w:after="160" w:line="300"/>
      </w:pPr>
      <w:r>
        <w:rPr>
          <w:rFonts w:ascii="Arial" w:cs="Arial" w:eastAsia="Arial" w:hAnsi="Arial"/>
          <w:color w:val="333333"/>
          <w:sz w:val="22"/>
          <w:szCs w:val="22"/>
        </w:rPr>
        <w:t xml:space="preserve">Mission, vision, core values, positioning, and messaging architecture for The Starr Conspiracy.</w:t>
      </w:r>
    </w:p>
    <w:p>
      <w:pPr>
        <w:spacing w:before="80" w:after="80"/>
      </w:pPr>
    </w:p>
    <w:p>
      <w:pPr>
        <w:spacing w:after="160" w:line="300"/>
      </w:pPr>
      <w:r>
        <w:rPr>
          <w:rFonts w:ascii="Arial" w:cs="Arial" w:eastAsia="Arial" w:hAnsi="Arial"/>
          <w:b/>
          <w:bCs/>
          <w:color w:val="333333"/>
          <w:sz w:val="22"/>
          <w:szCs w:val="22"/>
        </w:rPr>
        <w:t xml:space="preserve">Version: </w:t>
      </w:r>
      <w:r>
        <w:rPr>
          <w:rFonts w:ascii="Arial" w:cs="Arial" w:eastAsia="Arial" w:hAnsi="Arial"/>
          <w:color w:val="333333"/>
          <w:sz w:val="22"/>
          <w:szCs w:val="22"/>
        </w:rPr>
        <w:t xml:space="preserve">February 2026</w:t>
      </w:r>
    </w:p>
    <w:p>
      <w:pPr>
        <w:spacing w:after="160" w:line="300"/>
      </w:pPr>
      <w:r>
        <w:rPr>
          <w:rFonts w:ascii="Arial" w:cs="Arial" w:eastAsia="Arial" w:hAnsi="Arial"/>
          <w:b/>
          <w:bCs/>
          <w:color w:val="333333"/>
          <w:sz w:val="22"/>
          <w:szCs w:val="22"/>
        </w:rPr>
        <w:t xml:space="preserve">Classification: </w:t>
      </w:r>
      <w:r>
        <w:rPr>
          <w:rFonts w:ascii="Arial" w:cs="Arial" w:eastAsia="Arial" w:hAnsi="Arial"/>
          <w:color w:val="333333"/>
          <w:sz w:val="22"/>
          <w:szCs w:val="22"/>
        </w:rPr>
        <w:t xml:space="preserve">Internal / Partner Use</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000000"/>
          <w:sz w:val="36"/>
          <w:szCs w:val="36"/>
        </w:rPr>
        <w:t xml:space="preserve">Mission</w:t>
      </w:r>
    </w:p>
    <w:p>
      <w:pPr>
        <w:spacing w:after="160" w:line="300"/>
      </w:pPr>
      <w:r>
        <w:rPr>
          <w:rFonts w:ascii="Arial" w:cs="Arial" w:eastAsia="Arial" w:hAnsi="Arial"/>
          <w:color w:val="333333"/>
          <w:sz w:val="22"/>
          <w:szCs w:val="22"/>
        </w:rPr>
        <w:t xml:space="preserve">What we do, for whom, right now.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none"/>
              <w:bottom w:val="none"/>
              <w:right w:val="none"/>
            </w:tcBorders>
            <w:shd w:fill="F5F5F5" w:val="clear"/>
            <w:tcMar>
              <w:top w:type="dxa" w:w="200"/>
              <w:left w:type="dxa" w:w="240"/>
              <w:bottom w:type="dxa" w:w="200"/>
              <w:right w:type="dxa" w:w="240"/>
            </w:tcMar>
          </w:tcPr>
          <w:p>
            <w:pPr>
              <w:spacing w:line="320"/>
            </w:pPr>
            <w:r>
              <w:rPr>
                <w:rFonts w:ascii="Arial" w:cs="Arial" w:eastAsia="Arial" w:hAnsi="Arial"/>
                <w:color w:val="333333"/>
                <w:sz w:val="22"/>
                <w:szCs w:val="22"/>
              </w:rPr>
              <w:t xml:space="preserve">We help B2B tech companies navigate AI transformation without losing what makes them great. We ground them in the strategic fundamentals that have always driven market leadership—brand, message, and strategy—while leading them through AI innovation that reveals what’s possible in ways they never imagined. We promise to help our clients see marketing in a whole new light.</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80" w:after="80"/>
      </w:pPr>
    </w:p>
    <w:p>
      <w:pPr>
        <w:pStyle w:val="Heading1"/>
        <w:spacing w:before="360" w:after="120"/>
      </w:pPr>
      <w:r>
        <w:rPr>
          <w:rFonts w:ascii="Arial" w:cs="Arial" w:eastAsia="Arial" w:hAnsi="Arial"/>
          <w:b/>
          <w:bCs/>
          <w:color w:val="000000"/>
          <w:sz w:val="36"/>
          <w:szCs w:val="36"/>
        </w:rPr>
        <w:t xml:space="preserve">Vision</w:t>
      </w:r>
    </w:p>
    <w:p>
      <w:pPr>
        <w:spacing w:after="160" w:line="300"/>
      </w:pPr>
      <w:r>
        <w:rPr>
          <w:rFonts w:ascii="Arial" w:cs="Arial" w:eastAsia="Arial" w:hAnsi="Arial"/>
          <w:color w:val="333333"/>
          <w:sz w:val="22"/>
          <w:szCs w:val="22"/>
        </w:rPr>
        <w:t xml:space="preserve">The future state of what we’re building toward.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none"/>
              <w:bottom w:val="none"/>
              <w:right w:val="none"/>
            </w:tcBorders>
            <w:shd w:fill="F5F5F5" w:val="clear"/>
            <w:tcMar>
              <w:top w:type="dxa" w:w="200"/>
              <w:left w:type="dxa" w:w="240"/>
              <w:bottom w:type="dxa" w:w="200"/>
              <w:right w:type="dxa" w:w="240"/>
            </w:tcMar>
          </w:tcPr>
          <w:p>
            <w:pPr>
              <w:spacing w:line="320"/>
            </w:pPr>
            <w:r>
              <w:rPr>
                <w:rFonts w:ascii="Arial" w:cs="Arial" w:eastAsia="Arial" w:hAnsi="Arial"/>
                <w:color w:val="333333"/>
                <w:sz w:val="22"/>
                <w:szCs w:val="22"/>
              </w:rPr>
              <w:t xml:space="preserve">To be the most significant B2B marketing company in the AI era—the premier agency that combines strategic depth in brand, messaging, and go-to-market strategy with the most advanced AI execution in the world. We reject the false choice between fundamentals and innovation. We master both.</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80" w:after="80"/>
      </w:pPr>
    </w:p>
    <w:p>
      <w:pPr>
        <w:pStyle w:val="Heading1"/>
        <w:spacing w:before="360" w:after="120"/>
      </w:pPr>
      <w:r>
        <w:rPr>
          <w:rFonts w:ascii="Arial" w:cs="Arial" w:eastAsia="Arial" w:hAnsi="Arial"/>
          <w:b/>
          <w:bCs/>
          <w:color w:val="000000"/>
          <w:sz w:val="36"/>
          <w:szCs w:val="36"/>
        </w:rPr>
        <w:t xml:space="preserve">Core Values</w:t>
      </w:r>
    </w:p>
    <w:p>
      <w:pPr>
        <w:spacing w:after="160" w:line="300"/>
      </w:pPr>
      <w:r>
        <w:rPr>
          <w:rFonts w:ascii="Arial" w:cs="Arial" w:eastAsia="Arial" w:hAnsi="Arial"/>
          <w:color w:val="333333"/>
          <w:sz w:val="22"/>
          <w:szCs w:val="22"/>
        </w:rPr>
        <w:t xml:space="preserve">How we behave while doing the work.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80"/>
              <w:left w:type="dxa" w:w="0"/>
              <w:bottom w:type="dxa" w:w="80"/>
              <w:right w:type="dxa" w:w="120"/>
            </w:tcMar>
          </w:tcPr>
          <w:p>
            <w:r>
              <w:rPr>
                <w:rFonts w:ascii="Arial" w:cs="Arial" w:eastAsia="Arial" w:hAnsi="Arial"/>
                <w:b/>
                <w:bCs/>
                <w:color w:val="CC0000"/>
                <w:sz w:val="24"/>
                <w:szCs w:val="24"/>
              </w:rPr>
              <w:t xml:space="preserve">Grounded</w:t>
            </w:r>
          </w:p>
        </w:tc>
        <w:tc>
          <w:tcPr>
            <w:tcW w:type="dxa" w:w="6960"/>
            <w:tcBorders>
              <w:top w:val="none"/>
              <w:left w:val="none"/>
              <w:bottom w:val="none"/>
              <w:right w:val="none"/>
            </w:tcBorders>
            <w:tcMar>
              <w:top w:type="dxa" w:w="80"/>
              <w:left w:type="dxa" w:w="120"/>
              <w:bottom w:type="dxa" w:w="80"/>
              <w:right w:type="dxa" w:w="0"/>
            </w:tcMar>
          </w:tcPr>
          <w:p>
            <w:pPr>
              <w:spacing w:line="280"/>
            </w:pPr>
            <w:r>
              <w:rPr>
                <w:rFonts w:ascii="Arial" w:cs="Arial" w:eastAsia="Arial" w:hAnsi="Arial"/>
                <w:color w:val="333333"/>
                <w:sz w:val="22"/>
                <w:szCs w:val="22"/>
              </w:rPr>
              <w:t xml:space="preserve">We honor what’s timeless and immutable in marketing: brand, messaging, and strategy.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80"/>
              <w:left w:type="dxa" w:w="0"/>
              <w:bottom w:type="dxa" w:w="80"/>
              <w:right w:type="dxa" w:w="120"/>
            </w:tcMar>
          </w:tcPr>
          <w:p>
            <w:r>
              <w:rPr>
                <w:rFonts w:ascii="Arial" w:cs="Arial" w:eastAsia="Arial" w:hAnsi="Arial"/>
                <w:b/>
                <w:bCs/>
                <w:color w:val="CC0000"/>
                <w:sz w:val="24"/>
                <w:szCs w:val="24"/>
              </w:rPr>
              <w:t xml:space="preserve">Visionary</w:t>
            </w:r>
          </w:p>
        </w:tc>
        <w:tc>
          <w:tcPr>
            <w:tcW w:type="dxa" w:w="6960"/>
            <w:tcBorders>
              <w:top w:val="none"/>
              <w:left w:val="none"/>
              <w:bottom w:val="none"/>
              <w:right w:val="none"/>
            </w:tcBorders>
            <w:tcMar>
              <w:top w:type="dxa" w:w="80"/>
              <w:left w:type="dxa" w:w="120"/>
              <w:bottom w:type="dxa" w:w="80"/>
              <w:right w:type="dxa" w:w="0"/>
            </w:tcMar>
          </w:tcPr>
          <w:p>
            <w:pPr>
              <w:spacing w:line="280"/>
            </w:pPr>
            <w:r>
              <w:rPr>
                <w:rFonts w:ascii="Arial" w:cs="Arial" w:eastAsia="Arial" w:hAnsi="Arial"/>
                <w:color w:val="333333"/>
                <w:sz w:val="22"/>
                <w:szCs w:val="22"/>
              </w:rPr>
              <w:t xml:space="preserve">We build for what’s next: AI-native systems that multiply impact.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80"/>
              <w:left w:type="dxa" w:w="0"/>
              <w:bottom w:type="dxa" w:w="80"/>
              <w:right w:type="dxa" w:w="120"/>
            </w:tcMar>
          </w:tcPr>
          <w:p>
            <w:r>
              <w:rPr>
                <w:rFonts w:ascii="Arial" w:cs="Arial" w:eastAsia="Arial" w:hAnsi="Arial"/>
                <w:b/>
                <w:bCs/>
                <w:color w:val="CC0000"/>
                <w:sz w:val="24"/>
                <w:szCs w:val="24"/>
              </w:rPr>
              <w:t xml:space="preserve">Decisive</w:t>
            </w:r>
          </w:p>
        </w:tc>
        <w:tc>
          <w:tcPr>
            <w:tcW w:type="dxa" w:w="6960"/>
            <w:tcBorders>
              <w:top w:val="none"/>
              <w:left w:val="none"/>
              <w:bottom w:val="none"/>
              <w:right w:val="none"/>
            </w:tcBorders>
            <w:tcMar>
              <w:top w:type="dxa" w:w="80"/>
              <w:left w:type="dxa" w:w="120"/>
              <w:bottom w:type="dxa" w:w="80"/>
              <w:right w:type="dxa" w:w="0"/>
            </w:tcMar>
          </w:tcPr>
          <w:p>
            <w:pPr>
              <w:spacing w:line="280"/>
            </w:pPr>
            <w:r>
              <w:rPr>
                <w:rFonts w:ascii="Arial" w:cs="Arial" w:eastAsia="Arial" w:hAnsi="Arial"/>
                <w:color w:val="333333"/>
                <w:sz w:val="22"/>
                <w:szCs w:val="22"/>
              </w:rPr>
              <w:t xml:space="preserve">We move with urgency, never recklessly but always with confidence.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80"/>
              <w:left w:type="dxa" w:w="0"/>
              <w:bottom w:type="dxa" w:w="80"/>
              <w:right w:type="dxa" w:w="120"/>
            </w:tcMar>
          </w:tcPr>
          <w:p>
            <w:r>
              <w:rPr>
                <w:rFonts w:ascii="Arial" w:cs="Arial" w:eastAsia="Arial" w:hAnsi="Arial"/>
                <w:b/>
                <w:bCs/>
                <w:color w:val="CC0000"/>
                <w:sz w:val="24"/>
                <w:szCs w:val="24"/>
              </w:rPr>
              <w:t xml:space="preserve">Pragmatic</w:t>
            </w:r>
          </w:p>
        </w:tc>
        <w:tc>
          <w:tcPr>
            <w:tcW w:type="dxa" w:w="6960"/>
            <w:tcBorders>
              <w:top w:val="none"/>
              <w:left w:val="none"/>
              <w:bottom w:val="none"/>
              <w:right w:val="none"/>
            </w:tcBorders>
            <w:tcMar>
              <w:top w:type="dxa" w:w="80"/>
              <w:left w:type="dxa" w:w="120"/>
              <w:bottom w:type="dxa" w:w="80"/>
              <w:right w:type="dxa" w:w="0"/>
            </w:tcMar>
          </w:tcPr>
          <w:p>
            <w:pPr>
              <w:spacing w:line="280"/>
            </w:pPr>
            <w:r>
              <w:rPr>
                <w:rFonts w:ascii="Arial" w:cs="Arial" w:eastAsia="Arial" w:hAnsi="Arial"/>
                <w:color w:val="333333"/>
                <w:sz w:val="22"/>
                <w:szCs w:val="22"/>
              </w:rPr>
              <w:t xml:space="preserve">We’re neither luddites nor zealots. We are practitioners with proof.</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80"/>
              <w:left w:type="dxa" w:w="0"/>
              <w:bottom w:type="dxa" w:w="80"/>
              <w:right w:type="dxa" w:w="120"/>
            </w:tcMar>
          </w:tcPr>
          <w:p>
            <w:r>
              <w:rPr>
                <w:rFonts w:ascii="Arial" w:cs="Arial" w:eastAsia="Arial" w:hAnsi="Arial"/>
                <w:b/>
                <w:bCs/>
                <w:color w:val="CC0000"/>
                <w:sz w:val="24"/>
                <w:szCs w:val="24"/>
              </w:rPr>
              <w:t xml:space="preserve">Transformative</w:t>
            </w:r>
          </w:p>
        </w:tc>
        <w:tc>
          <w:tcPr>
            <w:tcW w:type="dxa" w:w="6960"/>
            <w:tcBorders>
              <w:top w:val="none"/>
              <w:left w:val="none"/>
              <w:bottom w:val="none"/>
              <w:right w:val="none"/>
            </w:tcBorders>
            <w:tcMar>
              <w:top w:type="dxa" w:w="80"/>
              <w:left w:type="dxa" w:w="120"/>
              <w:bottom w:type="dxa" w:w="80"/>
              <w:right w:type="dxa" w:w="0"/>
            </w:tcMar>
          </w:tcPr>
          <w:p>
            <w:pPr>
              <w:spacing w:line="280"/>
            </w:pPr>
            <w:r>
              <w:rPr>
                <w:rFonts w:ascii="Arial" w:cs="Arial" w:eastAsia="Arial" w:hAnsi="Arial"/>
                <w:color w:val="333333"/>
                <w:sz w:val="22"/>
                <w:szCs w:val="22"/>
              </w:rPr>
              <w:t xml:space="preserve">We don’t optimize outdated scaffolding. We architect breakthrough experiences that change destinies.</w:t>
            </w:r>
          </w:p>
        </w:tc>
      </w:tr>
    </w:tbl>
    <w:p>
      <w:r>
        <w:br w:type="page"/>
      </w:r>
    </w:p>
    <w:p>
      <w:pPr>
        <w:pStyle w:val="Heading1"/>
        <w:spacing w:before="360" w:after="120"/>
      </w:pPr>
      <w:r>
        <w:rPr>
          <w:rFonts w:ascii="Arial" w:cs="Arial" w:eastAsia="Arial" w:hAnsi="Arial"/>
          <w:b/>
          <w:bCs/>
          <w:color w:val="000000"/>
          <w:sz w:val="36"/>
          <w:szCs w:val="36"/>
        </w:rPr>
        <w:t xml:space="preserve">Brand Positioning</w:t>
      </w:r>
    </w:p>
    <w:p>
      <w:pPr>
        <w:spacing w:after="160" w:line="300"/>
      </w:pPr>
      <w:r>
        <w:rPr>
          <w:rFonts w:ascii="Arial" w:cs="Arial" w:eastAsia="Arial" w:hAnsi="Arial"/>
          <w:color w:val="333333"/>
          <w:sz w:val="22"/>
          <w:szCs w:val="22"/>
        </w:rPr>
        <w:t xml:space="preserve">How we occupy a distinct space in our buyers’ minds.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none"/>
              <w:bottom w:val="none"/>
              <w:right w:val="none"/>
            </w:tcBorders>
            <w:shd w:fill="F5F5F5" w:val="clear"/>
            <w:tcMar>
              <w:top w:type="dxa" w:w="200"/>
              <w:left w:type="dxa" w:w="240"/>
              <w:bottom w:type="dxa" w:w="200"/>
              <w:right w:type="dxa" w:w="240"/>
            </w:tcMar>
          </w:tcPr>
          <w:p>
            <w:pPr>
              <w:spacing w:line="320"/>
            </w:pPr>
            <w:r>
              <w:rPr>
                <w:rFonts w:ascii="Arial" w:cs="Arial" w:eastAsia="Arial" w:hAnsi="Arial"/>
                <w:color w:val="333333"/>
                <w:sz w:val="22"/>
                <w:szCs w:val="22"/>
              </w:rPr>
              <w:t xml:space="preserve">The Starr Conspiracy is the B2B marketing agency for tech companies navigating AI transformation. Unlike traditional agencies trapped between denial (Luddites), dabbling (Tourists), or dogma (Zealots), we deliver the best of both worlds: strategic depth in brand, messaging, and go-to-market strategy, combined with AI execution at levels no one else can match. We’ve led ourselves and others through transformation—never recklessly, always decisively. Because of that, we can help companies transform without forgetting who they are.</w:t>
            </w:r>
          </w:p>
        </w:tc>
      </w:tr>
    </w:tbl>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80" w:after="80"/>
      </w:pPr>
    </w:p>
    <w:p>
      <w:pPr>
        <w:pStyle w:val="Heading1"/>
        <w:spacing w:before="360" w:after="120"/>
      </w:pPr>
      <w:r>
        <w:rPr>
          <w:rFonts w:ascii="Arial" w:cs="Arial" w:eastAsia="Arial" w:hAnsi="Arial"/>
          <w:b/>
          <w:bCs/>
          <w:color w:val="000000"/>
          <w:sz w:val="36"/>
          <w:szCs w:val="36"/>
        </w:rPr>
        <w:t xml:space="preserve">Tagline</w:t>
      </w:r>
    </w:p>
    <w:p>
      <w:pPr>
        <w:spacing w:after="200"/>
      </w:pPr>
      <w:r>
        <w:rPr>
          <w:rFonts w:ascii="Arial" w:cs="Arial" w:eastAsia="Arial" w:hAnsi="Arial"/>
          <w:i/>
          <w:iCs/>
          <w:color w:val="CC0000"/>
          <w:sz w:val="32"/>
          <w:szCs w:val="32"/>
        </w:rPr>
        <w:t xml:space="preserve">See marketing in a whole new light.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80" w:after="80"/>
      </w:pPr>
    </w:p>
    <w:p>
      <w:pPr>
        <w:pStyle w:val="Heading1"/>
        <w:spacing w:before="360" w:after="120"/>
      </w:pPr>
      <w:r>
        <w:rPr>
          <w:rFonts w:ascii="Arial" w:cs="Arial" w:eastAsia="Arial" w:hAnsi="Arial"/>
          <w:b/>
          <w:bCs/>
          <w:color w:val="000000"/>
          <w:sz w:val="36"/>
          <w:szCs w:val="36"/>
        </w:rPr>
        <w:t xml:space="preserve">Messaging Pillars</w:t>
      </w:r>
    </w:p>
    <w:p>
      <w:pPr>
        <w:spacing w:after="160" w:line="300"/>
      </w:pPr>
      <w:r>
        <w:rPr>
          <w:rFonts w:ascii="Arial" w:cs="Arial" w:eastAsia="Arial" w:hAnsi="Arial"/>
          <w:color w:val="333333"/>
          <w:sz w:val="22"/>
          <w:szCs w:val="22"/>
        </w:rPr>
        <w:t xml:space="preserve">The three strategic arguments that support our positioning.</w:t>
      </w:r>
    </w:p>
    <w:p>
      <w:pPr>
        <w:spacing w:before="80" w:after="80"/>
      </w:pPr>
    </w:p>
    <w:p>
      <w:pPr>
        <w:pStyle w:val="Heading2"/>
        <w:spacing w:before="280" w:after="100"/>
      </w:pPr>
      <w:r>
        <w:rPr>
          <w:rFonts w:ascii="Arial" w:cs="Arial" w:eastAsia="Arial" w:hAnsi="Arial"/>
          <w:b/>
          <w:bCs/>
          <w:color w:val="333333"/>
          <w:sz w:val="28"/>
          <w:szCs w:val="28"/>
        </w:rPr>
        <w:t xml:space="preserve">Pillar 1: Grounded in Fundamentals</w:t>
      </w:r>
    </w:p>
    <w:p>
      <w:pPr>
        <w:spacing w:after="160" w:line="300"/>
      </w:pPr>
      <w:r>
        <w:rPr>
          <w:rFonts w:ascii="Arial" w:cs="Arial" w:eastAsia="Arial" w:hAnsi="Arial"/>
          <w:b/>
          <w:bCs/>
          <w:color w:val="333333"/>
          <w:sz w:val="22"/>
          <w:szCs w:val="22"/>
        </w:rPr>
        <w:t xml:space="preserve">Message: </w:t>
      </w:r>
      <w:r>
        <w:rPr>
          <w:rFonts w:ascii="Arial" w:cs="Arial" w:eastAsia="Arial" w:hAnsi="Arial"/>
          <w:color w:val="333333"/>
          <w:sz w:val="22"/>
          <w:szCs w:val="22"/>
        </w:rPr>
        <w:t xml:space="preserve">We’re famous for brand, messaging, and strategy—the fundamentals that have always driven growth. We even invented a few of them.</w:t>
      </w:r>
    </w:p>
    <w:p>
      <w:pPr>
        <w:spacing w:after="160" w:line="300"/>
      </w:pPr>
      <w:r>
        <w:rPr>
          <w:rFonts w:ascii="Arial" w:cs="Arial" w:eastAsia="Arial" w:hAnsi="Arial"/>
          <w:b/>
          <w:bCs/>
          <w:color w:val="333333"/>
          <w:sz w:val="22"/>
          <w:szCs w:val="22"/>
        </w:rPr>
        <w:t xml:space="preserve">Proof: </w:t>
      </w:r>
      <w:r>
        <w:rPr>
          <w:rFonts w:ascii="Arial" w:cs="Arial" w:eastAsia="Arial" w:hAnsi="Arial"/>
          <w:color w:val="333333"/>
          <w:sz w:val="22"/>
          <w:szCs w:val="22"/>
        </w:rPr>
        <w:t xml:space="preserve">25+ years building marketing fundamentals for thousands of B2B tech companies. Proprietary messaging frameworks used by Fortune 500 companies. Deep expertise in brand, message, and GTM strategy.</w:t>
      </w:r>
    </w:p>
    <w:p>
      <w:pPr>
        <w:spacing w:before="80" w:after="80"/>
      </w:pPr>
    </w:p>
    <w:p>
      <w:pPr>
        <w:pStyle w:val="Heading2"/>
        <w:spacing w:before="280" w:after="100"/>
      </w:pPr>
      <w:r>
        <w:rPr>
          <w:rFonts w:ascii="Arial" w:cs="Arial" w:eastAsia="Arial" w:hAnsi="Arial"/>
          <w:b/>
          <w:bCs/>
          <w:color w:val="333333"/>
          <w:sz w:val="28"/>
          <w:szCs w:val="28"/>
        </w:rPr>
        <w:t xml:space="preserve">Pillar 2: Visionary in Innovation</w:t>
      </w:r>
    </w:p>
    <w:p>
      <w:pPr>
        <w:spacing w:after="160" w:line="300"/>
      </w:pPr>
      <w:r>
        <w:rPr>
          <w:rFonts w:ascii="Arial" w:cs="Arial" w:eastAsia="Arial" w:hAnsi="Arial"/>
          <w:b/>
          <w:bCs/>
          <w:color w:val="333333"/>
          <w:sz w:val="22"/>
          <w:szCs w:val="22"/>
        </w:rPr>
        <w:t xml:space="preserve">Message: </w:t>
      </w:r>
      <w:r>
        <w:rPr>
          <w:rFonts w:ascii="Arial" w:cs="Arial" w:eastAsia="Arial" w:hAnsi="Arial"/>
          <w:color w:val="333333"/>
          <w:sz w:val="22"/>
          <w:szCs w:val="22"/>
        </w:rPr>
        <w:t xml:space="preserve">We don’t tinker with AI. We harness its power as a force multiplier for transcendent brand, marketing, and strategy. We’ve spent years building AI-native systems that achieve human-quality outcomes at non-human scale.</w:t>
      </w:r>
    </w:p>
    <w:p>
      <w:pPr>
        <w:spacing w:after="160" w:line="300"/>
      </w:pPr>
      <w:r>
        <w:rPr>
          <w:rFonts w:ascii="Arial" w:cs="Arial" w:eastAsia="Arial" w:hAnsi="Arial"/>
          <w:b/>
          <w:bCs/>
          <w:color w:val="333333"/>
          <w:sz w:val="22"/>
          <w:szCs w:val="22"/>
        </w:rPr>
        <w:t xml:space="preserve">Proof: </w:t>
      </w:r>
      <w:r>
        <w:rPr>
          <w:rFonts w:ascii="Arial" w:cs="Arial" w:eastAsia="Arial" w:hAnsi="Arial"/>
          <w:color w:val="333333"/>
          <w:sz w:val="22"/>
          <w:szCs w:val="22"/>
        </w:rPr>
        <w:t xml:space="preserve">Years of AI implementations, product development, system integrations, and client transformations. Proprietary AI systems built from the ground up, not retrofitted tools. We actually serve innovation—not just list it on the menu.</w:t>
      </w:r>
    </w:p>
    <w:p>
      <w:pPr>
        <w:spacing w:before="80" w:after="80"/>
      </w:pPr>
    </w:p>
    <w:p>
      <w:pPr>
        <w:pStyle w:val="Heading2"/>
        <w:spacing w:before="280" w:after="100"/>
      </w:pPr>
      <w:r>
        <w:rPr>
          <w:rFonts w:ascii="Arial" w:cs="Arial" w:eastAsia="Arial" w:hAnsi="Arial"/>
          <w:b/>
          <w:bCs/>
          <w:color w:val="333333"/>
          <w:sz w:val="28"/>
          <w:szCs w:val="28"/>
        </w:rPr>
        <w:t xml:space="preserve">Pillar 3: Decisive Leadership</w:t>
      </w:r>
    </w:p>
    <w:p>
      <w:pPr>
        <w:spacing w:after="160" w:line="300"/>
      </w:pPr>
      <w:r>
        <w:rPr>
          <w:rFonts w:ascii="Arial" w:cs="Arial" w:eastAsia="Arial" w:hAnsi="Arial"/>
          <w:b/>
          <w:bCs/>
          <w:color w:val="333333"/>
          <w:sz w:val="22"/>
          <w:szCs w:val="22"/>
        </w:rPr>
        <w:t xml:space="preserve">Message: </w:t>
      </w:r>
      <w:r>
        <w:rPr>
          <w:rFonts w:ascii="Arial" w:cs="Arial" w:eastAsia="Arial" w:hAnsi="Arial"/>
          <w:color w:val="333333"/>
          <w:sz w:val="22"/>
          <w:szCs w:val="22"/>
        </w:rPr>
        <w:t xml:space="preserve">We move decisively—never recklessly, always confidently. We can lead you through transformation because we’ve led ourselves and others through it. That’s what leadership is.</w:t>
      </w:r>
    </w:p>
    <w:p>
      <w:pPr>
        <w:spacing w:after="160" w:line="300"/>
      </w:pPr>
      <w:r>
        <w:rPr>
          <w:rFonts w:ascii="Arial" w:cs="Arial" w:eastAsia="Arial" w:hAnsi="Arial"/>
          <w:b/>
          <w:bCs/>
          <w:color w:val="333333"/>
          <w:sz w:val="22"/>
          <w:szCs w:val="22"/>
        </w:rPr>
        <w:t xml:space="preserve">Proof: </w:t>
      </w:r>
      <w:r>
        <w:rPr>
          <w:rFonts w:ascii="Arial" w:cs="Arial" w:eastAsia="Arial" w:hAnsi="Arial"/>
          <w:color w:val="333333"/>
          <w:sz w:val="22"/>
          <w:szCs w:val="22"/>
        </w:rPr>
        <w:t xml:space="preserve">Track record of successful transformations across the SaaS era, digital transformation, and now AI. Methodology for balancing continuity with reinvention. Proven ability to deliver transformation without losing client identity.</w:t>
      </w:r>
    </w:p>
    <w:p>
      <w:r>
        <w:br w:type="page"/>
      </w:r>
    </w:p>
    <w:p>
      <w:pPr>
        <w:pStyle w:val="Heading1"/>
        <w:spacing w:before="360" w:after="120"/>
      </w:pPr>
      <w:r>
        <w:rPr>
          <w:rFonts w:ascii="Arial" w:cs="Arial" w:eastAsia="Arial" w:hAnsi="Arial"/>
          <w:b/>
          <w:bCs/>
          <w:color w:val="000000"/>
          <w:sz w:val="36"/>
          <w:szCs w:val="36"/>
        </w:rPr>
        <w:t xml:space="preserve">Competitive Frame</w:t>
      </w:r>
    </w:p>
    <w:p>
      <w:pPr>
        <w:spacing w:after="160" w:line="300"/>
      </w:pPr>
      <w:r>
        <w:rPr>
          <w:rFonts w:ascii="Arial" w:cs="Arial" w:eastAsia="Arial" w:hAnsi="Arial"/>
          <w:color w:val="333333"/>
          <w:sz w:val="22"/>
          <w:szCs w:val="22"/>
        </w:rPr>
        <w:t xml:space="preserve">How we differentiate against the three agency archetypes that fail buyers.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22222"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22222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Luddites</w:t>
            </w:r>
          </w:p>
        </w:tc>
        <w:tc>
          <w:tcPr>
            <w:tcW w:type="dxa" w:w="2340"/>
            <w:tcBorders>
              <w:top w:val="single" w:color="CCCCCC" w:sz="1"/>
              <w:left w:val="single" w:color="CCCCCC" w:sz="1"/>
              <w:bottom w:val="single" w:color="CCCCCC" w:sz="1"/>
              <w:right w:val="single" w:color="CCCCCC" w:sz="1"/>
            </w:tcBorders>
            <w:shd w:fill="22222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Tourists</w:t>
            </w:r>
          </w:p>
        </w:tc>
        <w:tc>
          <w:tcPr>
            <w:tcW w:type="dxa" w:w="2340"/>
            <w:tcBorders>
              <w:top w:val="single" w:color="CCCCCC" w:sz="1"/>
              <w:left w:val="single" w:color="CCCCCC" w:sz="1"/>
              <w:bottom w:val="single" w:color="CCCCCC" w:sz="1"/>
              <w:right w:val="single" w:color="CCCCCC" w:sz="1"/>
            </w:tcBorders>
            <w:shd w:fill="22222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Zealots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Stance on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Dismiss as overhyped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 expertise with no proof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Believe only AI can save 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Fundamentals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but static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Shallow, buzzword-driven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Dismissed as irrelevant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Risk to buyer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fall behind while they protest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waste budget on unproven capabilities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lose your brand identity in the rush</w:t>
            </w:r>
          </w:p>
        </w:tc>
      </w:tr>
    </w:tbl>
    <w:p>
      <w:pPr>
        <w:spacing w:before="200" w:after="200"/>
      </w:pPr>
    </w:p>
    <w:p>
      <w:pPr>
        <w:pStyle w:val="Heading2"/>
        <w:spacing w:before="280" w:after="100"/>
      </w:pPr>
      <w:r>
        <w:rPr>
          <w:rFonts w:ascii="Arial" w:cs="Arial" w:eastAsia="Arial" w:hAnsi="Arial"/>
          <w:b/>
          <w:bCs/>
          <w:color w:val="333333"/>
          <w:sz w:val="28"/>
          <w:szCs w:val="28"/>
        </w:rPr>
        <w:t xml:space="preserve">TSC’s Position: The Best of Both Worlds</w:t>
      </w:r>
    </w:p>
    <w:p>
      <w:pPr>
        <w:spacing w:after="160" w:line="300"/>
      </w:pPr>
      <w:r>
        <w:rPr>
          <w:rFonts w:ascii="Arial" w:cs="Arial" w:eastAsia="Arial" w:hAnsi="Arial"/>
          <w:color w:val="333333"/>
          <w:sz w:val="22"/>
          <w:szCs w:val="22"/>
        </w:rPr>
        <w:t xml:space="preserve">We deliver strategic depth and AI execution at levels no one else can match. We’re famous for the fundamentals—brand, messaging, and strategy. But we also have years of AI implementations, product development, system integrations, and client transformations that prove we actually serve innovation, not just list it on the menu. You don’t have to compromise. You get both. Proven fundamentals. Proven AI. And that means proven results.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CC0000" w:sz="2"/>
              <w:right w:val="none"/>
            </w:tcBorders>
          </w:tcPr>
          <w:p>
            <w:pPr>
              <w:spacing w:before="80" w:after="80"/>
            </w:pPr>
          </w:p>
        </w:tc>
      </w:tr>
    </w:tbl>
    <w:p>
      <w:pPr>
        <w:spacing w:before="80" w:after="80"/>
      </w:pPr>
    </w:p>
    <w:p>
      <w:pPr>
        <w:pStyle w:val="Heading1"/>
        <w:spacing w:before="360" w:after="120"/>
      </w:pPr>
      <w:r>
        <w:rPr>
          <w:rFonts w:ascii="Arial" w:cs="Arial" w:eastAsia="Arial" w:hAnsi="Arial"/>
          <w:b/>
          <w:bCs/>
          <w:color w:val="000000"/>
          <w:sz w:val="36"/>
          <w:szCs w:val="36"/>
        </w:rPr>
        <w:t xml:space="preserve">Experience Vision</w:t>
      </w:r>
    </w:p>
    <w:p>
      <w:pPr>
        <w:spacing w:before="40" w:after="40"/>
      </w:pPr>
    </w:p>
    <w:p>
      <w:pPr>
        <w:spacing w:after="160" w:line="300"/>
      </w:pPr>
      <w:r>
        <w:rPr>
          <w:rFonts w:ascii="Arial" w:cs="Arial" w:eastAsia="Arial" w:hAnsi="Arial"/>
          <w:b/>
          <w:bCs/>
          <w:color w:val="333333"/>
          <w:sz w:val="22"/>
          <w:szCs w:val="22"/>
        </w:rPr>
        <w:t xml:space="preserve">Essential Nature: </w:t>
      </w:r>
      <w:r>
        <w:rPr>
          <w:rFonts w:ascii="Arial" w:cs="Arial" w:eastAsia="Arial" w:hAnsi="Arial"/>
          <w:color w:val="333333"/>
          <w:sz w:val="22"/>
          <w:szCs w:val="22"/>
        </w:rPr>
        <w:t xml:space="preserve">Breakthrough</w:t>
      </w:r>
    </w:p>
    <w:p>
      <w:pPr>
        <w:spacing w:after="160" w:line="300"/>
      </w:pPr>
      <w:r>
        <w:rPr>
          <w:rFonts w:ascii="Arial" w:cs="Arial" w:eastAsia="Arial" w:hAnsi="Arial"/>
          <w:b/>
          <w:bCs/>
          <w:color w:val="333333"/>
          <w:sz w:val="22"/>
          <w:szCs w:val="22"/>
        </w:rPr>
        <w:t xml:space="preserve">Defining Characteristics: </w:t>
      </w:r>
      <w:r>
        <w:rPr>
          <w:rFonts w:ascii="Arial" w:cs="Arial" w:eastAsia="Arial" w:hAnsi="Arial"/>
          <w:color w:val="333333"/>
          <w:sz w:val="22"/>
          <w:szCs w:val="22"/>
        </w:rPr>
        <w:t xml:space="preserve">Grounded, Visionary, Decisive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none"/>
              <w:bottom w:val="none"/>
              <w:right w:val="none"/>
            </w:tcBorders>
            <w:shd w:fill="F5F5F5" w:val="clear"/>
            <w:tcMar>
              <w:top w:type="dxa" w:w="200"/>
              <w:left w:type="dxa" w:w="240"/>
              <w:bottom w:type="dxa" w:w="200"/>
              <w:right w:type="dxa" w:w="240"/>
            </w:tcMar>
          </w:tcPr>
          <w:p>
            <w:pPr>
              <w:spacing w:line="320"/>
            </w:pPr>
            <w:r>
              <w:rPr>
                <w:rFonts w:ascii="Arial" w:cs="Arial" w:eastAsia="Arial" w:hAnsi="Arial"/>
                <w:color w:val="333333"/>
                <w:sz w:val="22"/>
                <w:szCs w:val="22"/>
              </w:rPr>
              <w:t xml:space="preserve">The Starr Conspiracy creates breakthrough marketing experiences for tech companies navigating AI transformation. We ground you in the fundamentals that have always driven growth and success (brand, message, and strategy). And we lead you through AI innovation to reveal what’s possible in ways you never imagined. Our recommendations are calculated and decisive—never reckless or breathless. We don’t stop at helping our clients understand AI transformation on an intellectual and theoretical level. You experience breakthrough moments that will crystallize your resolve and cement your leadership in the AI era. Once you see marketing in a new light, there is no closing your eyes.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2026-02-11T04:42:12.996Z</dcterms:created>
  <dcterms:modified xsi:type="dcterms:W3CDTF">2026-02-11T04:42:12.997Z</dcterms:modified>
</cp:coreProperties>
</file>

<file path=docProps/custom.xml><?xml version="1.0" encoding="utf-8"?>
<Properties xmlns="http://schemas.openxmlformats.org/officeDocument/2006/custom-properties" xmlns:vt="http://schemas.openxmlformats.org/officeDocument/2006/docPropsVTypes"/>
</file>