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it. Here’s a </w:t>
      </w:r>
      <w:r w:rsidDel="00000000" w:rsidR="00000000" w:rsidRPr="00000000">
        <w:rPr>
          <w:b w:val="1"/>
          <w:bCs w:val="1"/>
          <w:rtl w:val="0"/>
        </w:rPr>
        <w:t xml:space="preserve">tight ~3-minute speaking script</w:t>
      </w:r>
      <w:r w:rsidDel="00000000" w:rsidR="00000000" w:rsidRPr="00000000">
        <w:rPr>
          <w:rtl w:val="0"/>
        </w:rPr>
        <w:t xml:space="preserve"> you can deliver cleanly in an MMM setting. It’s structured, confident, and executive. You can read it verbatim or use it as rails.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Opening | 20–30 seconds</w:t>
      </w:r>
    </w:p>
    <w:p w:rsidR="00000000" w:rsidDel="00000000" w:rsidP="00000000" w:rsidRDefault="00000000" w:rsidRPr="00000000" w14:paraId="00000004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color w:val="0e0e0e"/>
          <w:sz w:val="32"/>
          <w:szCs w:val="32"/>
          <w:rtl w:val="0"/>
        </w:rPr>
        <w:t xml:space="preserve">For 2026, the core strategy is very simple and very deliberate: we are changing the unit economics of the company through innovation (the 2026 theme).</w:t>
      </w:r>
    </w:p>
    <w:p w:rsidR="00000000" w:rsidDel="00000000" w:rsidP="00000000" w:rsidRDefault="00000000" w:rsidRPr="00000000" w14:paraId="00000005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20" w:firstLine="0"/>
        <w:rPr>
          <w:b w:val="1"/>
          <w:bCs w:val="1"/>
          <w:color w:val="0e0e0e"/>
          <w:sz w:val="32"/>
          <w:szCs w:val="32"/>
        </w:rPr>
      </w:pPr>
      <w:r w:rsidDel="00000000" w:rsidR="00000000" w:rsidRPr="00000000">
        <w:rPr>
          <w:color w:val="0e0e0e"/>
          <w:sz w:val="32"/>
          <w:szCs w:val="32"/>
          <w:rtl w:val="0"/>
        </w:rPr>
        <w:t xml:space="preserve">Not through automation, but through fundamentally redesigning how work gets done using AI-native systems.</w:t>
        <w:br w:type="textWrapping"/>
        <w:br w:type="textWrapping"/>
      </w:r>
      <w:r w:rsidDel="00000000" w:rsidR="00000000" w:rsidRPr="00000000">
        <w:rPr>
          <w:b w:val="1"/>
          <w:bCs w:val="1"/>
          <w:color w:val="0e0e0e"/>
          <w:sz w:val="32"/>
          <w:szCs w:val="32"/>
          <w:rtl w:val="0"/>
        </w:rPr>
        <w:t xml:space="preserve">Next is now!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 | ~75–90 seconds</w:t>
      </w:r>
    </w:p>
    <w:p w:rsidR="00000000" w:rsidDel="00000000" w:rsidP="00000000" w:rsidRDefault="00000000" w:rsidRPr="00000000" w14:paraId="00000009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color w:val="0e0e0e"/>
          <w:sz w:val="32"/>
          <w:szCs w:val="32"/>
          <w:rtl w:val="0"/>
        </w:rPr>
        <w:t xml:space="preserve">“The north-star metric I’m going to be tracking is </w:t>
      </w:r>
      <w:r w:rsidDel="00000000" w:rsidR="00000000" w:rsidRPr="00000000">
        <w:rPr>
          <w:b w:val="1"/>
          <w:bCs w:val="1"/>
          <w:color w:val="0e0e0e"/>
          <w:sz w:val="32"/>
          <w:szCs w:val="32"/>
          <w:rtl w:val="0"/>
        </w:rPr>
        <w:t xml:space="preserve">$225K in ARR per employee</w:t>
      </w:r>
      <w:r w:rsidDel="00000000" w:rsidR="00000000" w:rsidRPr="00000000">
        <w:rPr>
          <w:color w:val="0e0e0e"/>
          <w:sz w:val="32"/>
          <w:szCs w:val="32"/>
          <w:rtl w:val="0"/>
        </w:rPr>
        <w:t xml:space="preserve">, and then pushing meaningfully beyond that over time. We’re currently just below $210K per employee.</w:t>
      </w:r>
    </w:p>
    <w:p w:rsidR="00000000" w:rsidDel="00000000" w:rsidP="00000000" w:rsidRDefault="00000000" w:rsidRPr="00000000" w14:paraId="0000000A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color w:val="0e0e0e"/>
          <w:sz w:val="32"/>
          <w:szCs w:val="32"/>
          <w:rtl w:val="0"/>
        </w:rPr>
        <w:t xml:space="preserve">The way we get there is by embedding AI directly into our operating system, starting with GTM (marketing, sales, partnership and strategy).</w:t>
      </w:r>
    </w:p>
    <w:p w:rsidR="00000000" w:rsidDel="00000000" w:rsidP="00000000" w:rsidRDefault="00000000" w:rsidRPr="00000000" w14:paraId="0000000C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color w:val="0e0e0e"/>
          <w:sz w:val="32"/>
          <w:szCs w:val="32"/>
          <w:rtl w:val="0"/>
        </w:rPr>
        <w:t xml:space="preserve">Wherever we see repeatable human effort that is tied to ARR, we ask one question: can this be handled, assisted, amplified or (especially innovated) by an AI-native system?</w:t>
      </w:r>
    </w:p>
    <w:p w:rsidR="00000000" w:rsidDel="00000000" w:rsidP="00000000" w:rsidRDefault="00000000" w:rsidRPr="00000000" w14:paraId="0000000E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color w:val="0e0e0e"/>
          <w:sz w:val="32"/>
          <w:szCs w:val="32"/>
          <w:rtl w:val="0"/>
        </w:rPr>
        <w:t xml:space="preserve">That means AI isn’t a tool on the side. It’s part of how work flows. Research, outreach, qualification, content creation, optimization, follow-up.</w:t>
      </w:r>
    </w:p>
    <w:p w:rsidR="00000000" w:rsidDel="00000000" w:rsidP="00000000" w:rsidRDefault="00000000" w:rsidRPr="00000000" w14:paraId="00000010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color w:val="0e0e0e"/>
          <w:sz w:val="32"/>
          <w:szCs w:val="32"/>
          <w:rtl w:val="0"/>
        </w:rPr>
        <w:t xml:space="preserve">If we do this right, the output per person goes up, cycle times go down, and margin expands without sacrificing quality or strategy.</w:t>
      </w:r>
    </w:p>
    <w:p w:rsidR="00000000" w:rsidDel="00000000" w:rsidP="00000000" w:rsidRDefault="00000000" w:rsidRPr="00000000" w14:paraId="00000012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color w:val="0e0e0e"/>
          <w:sz w:val="32"/>
          <w:szCs w:val="32"/>
          <w:rtl w:val="0"/>
        </w:rPr>
        <w:t xml:space="preserve">GTM is where this matters most first, because that’s where effort, time, and cost concentrate today.” </w:t>
        <w:br w:type="textWrapping"/>
        <w:br w:type="textWrapping"/>
        <w:t xml:space="preserve">As an example, our meeting rate is 300% better in February with AI-assisted appointment setting (70% conversion rate from MQL to appointment setting)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Focus | ~45–60 seconds</w:t>
      </w:r>
    </w:p>
    <w:p w:rsidR="00000000" w:rsidDel="00000000" w:rsidP="00000000" w:rsidRDefault="00000000" w:rsidRPr="00000000" w14:paraId="00000016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color w:val="0e0e0e"/>
          <w:sz w:val="32"/>
          <w:szCs w:val="32"/>
          <w:rtl w:val="0"/>
        </w:rPr>
        <w:t xml:space="preserve">“On the marketing side, the objective is very clear: </w:t>
      </w:r>
      <w:r w:rsidDel="00000000" w:rsidR="00000000" w:rsidRPr="00000000">
        <w:rPr>
          <w:b w:val="1"/>
          <w:bCs w:val="1"/>
          <w:color w:val="0e0e0e"/>
          <w:sz w:val="32"/>
          <w:szCs w:val="32"/>
          <w:rtl w:val="0"/>
        </w:rPr>
        <w:t xml:space="preserve">increase inbound organic as a primary growth lever</w:t>
      </w:r>
      <w:r w:rsidDel="00000000" w:rsidR="00000000" w:rsidRPr="00000000">
        <w:rPr>
          <w:color w:val="0e0e0e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17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color w:val="0e0e0e"/>
          <w:sz w:val="32"/>
          <w:szCs w:val="32"/>
          <w:rtl w:val="0"/>
        </w:rPr>
        <w:t xml:space="preserve">We want to reduce our dependence on paid and outbound-heavy motion by building durable, compounding demand.</w:t>
      </w:r>
    </w:p>
    <w:p w:rsidR="00000000" w:rsidDel="00000000" w:rsidP="00000000" w:rsidRDefault="00000000" w:rsidRPr="00000000" w14:paraId="00000019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color w:val="0e0e0e"/>
          <w:sz w:val="32"/>
          <w:szCs w:val="32"/>
          <w:rtl w:val="0"/>
        </w:rPr>
        <w:t xml:space="preserve">That means becoming extremely intentional about how and where we show up in search, in answer engines, and in AI-driven discovery.</w:t>
      </w:r>
    </w:p>
    <w:p w:rsidR="00000000" w:rsidDel="00000000" w:rsidP="00000000" w:rsidRDefault="00000000" w:rsidRPr="00000000" w14:paraId="0000001B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color w:val="0e0e0e"/>
          <w:sz w:val="32"/>
          <w:szCs w:val="32"/>
          <w:rtl w:val="0"/>
        </w:rPr>
        <w:t xml:space="preserve">The goal isn’t more content. It’s more </w:t>
      </w:r>
      <w:r w:rsidDel="00000000" w:rsidR="00000000" w:rsidRPr="00000000">
        <w:rPr>
          <w:i w:val="1"/>
          <w:iCs w:val="1"/>
          <w:color w:val="0e0e0e"/>
          <w:sz w:val="32"/>
          <w:szCs w:val="32"/>
          <w:rtl w:val="0"/>
        </w:rPr>
        <w:t xml:space="preserve">effective</w:t>
      </w:r>
      <w:r w:rsidDel="00000000" w:rsidR="00000000" w:rsidRPr="00000000">
        <w:rPr>
          <w:color w:val="0e0e0e"/>
          <w:sz w:val="32"/>
          <w:szCs w:val="32"/>
          <w:rtl w:val="0"/>
        </w:rPr>
        <w:t xml:space="preserve"> content that attracts the right demand, earlier, and with higher intent.”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Items | ~60 seconds</w:t>
      </w:r>
    </w:p>
    <w:p w:rsidR="00000000" w:rsidDel="00000000" w:rsidP="00000000" w:rsidRDefault="00000000" w:rsidRPr="00000000" w14:paraId="0000001F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color w:val="0e0e0e"/>
          <w:sz w:val="32"/>
          <w:szCs w:val="32"/>
          <w:rtl w:val="0"/>
        </w:rPr>
        <w:t xml:space="preserve">“So the priority items for 2026, especially near-term, are three things:</w:t>
      </w:r>
    </w:p>
    <w:p w:rsidR="00000000" w:rsidDel="00000000" w:rsidP="00000000" w:rsidRDefault="00000000" w:rsidRPr="00000000" w14:paraId="00000020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b w:val="1"/>
          <w:bCs w:val="1"/>
          <w:color w:val="0e0e0e"/>
          <w:sz w:val="32"/>
          <w:szCs w:val="32"/>
          <w:rtl w:val="0"/>
        </w:rPr>
        <w:t xml:space="preserve">First: AI SDR.</w:t>
      </w:r>
      <w:r w:rsidDel="00000000" w:rsidR="00000000" w:rsidRPr="00000000">
        <w:rPr>
          <w:color w:val="0e0e0e"/>
          <w:sz w:val="32"/>
          <w:szCs w:val="32"/>
          <w:rtl w:val="0"/>
        </w:rPr>
        <w:t xml:space="preserve"> We are redesigning the SDR function so AI handles research, signal detection, first-touch, and routing, with humans focused on high-value conversations.</w:t>
      </w:r>
    </w:p>
    <w:p w:rsidR="00000000" w:rsidDel="00000000" w:rsidP="00000000" w:rsidRDefault="00000000" w:rsidRPr="00000000" w14:paraId="00000022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b w:val="1"/>
          <w:bCs w:val="1"/>
          <w:color w:val="0e0e0e"/>
          <w:sz w:val="32"/>
          <w:szCs w:val="32"/>
          <w:rtl w:val="0"/>
        </w:rPr>
        <w:t xml:space="preserve">Second: AEO.</w:t>
      </w:r>
      <w:r w:rsidDel="00000000" w:rsidR="00000000" w:rsidRPr="00000000">
        <w:rPr>
          <w:color w:val="0e0e0e"/>
          <w:sz w:val="32"/>
          <w:szCs w:val="32"/>
          <w:rtl w:val="0"/>
        </w:rPr>
        <w:t xml:space="preserve"> Answer Engine Optimization is critical. Buyers are no longer just searching. They’re asking. We need to be the best answer wherever those questions surface.</w:t>
      </w:r>
    </w:p>
    <w:p w:rsidR="00000000" w:rsidDel="00000000" w:rsidP="00000000" w:rsidRDefault="00000000" w:rsidRPr="00000000" w14:paraId="00000024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b w:val="1"/>
          <w:bCs w:val="1"/>
          <w:color w:val="0e0e0e"/>
          <w:sz w:val="32"/>
          <w:szCs w:val="32"/>
          <w:rtl w:val="0"/>
        </w:rPr>
        <w:t xml:space="preserve">Third: Content.</w:t>
      </w:r>
      <w:r w:rsidDel="00000000" w:rsidR="00000000" w:rsidRPr="00000000">
        <w:rPr>
          <w:color w:val="0e0e0e"/>
          <w:sz w:val="32"/>
          <w:szCs w:val="32"/>
          <w:rtl w:val="0"/>
        </w:rPr>
        <w:t xml:space="preserve"> But content tied directly to demand capture, not vanity metrics. Content that feeds AEO, inbound, and sales enablement as one system.</w:t>
      </w:r>
    </w:p>
    <w:p w:rsidR="00000000" w:rsidDel="00000000" w:rsidP="00000000" w:rsidRDefault="00000000" w:rsidRPr="00000000" w14:paraId="00000026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color w:val="0e0e0e"/>
          <w:sz w:val="32"/>
          <w:szCs w:val="32"/>
          <w:rtl w:val="0"/>
        </w:rPr>
        <w:t xml:space="preserve">These three work together. AI SDR converts demand, AEO creates demand, and content fuels the entire engine.”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 | 15–20 seconds</w:t>
      </w:r>
    </w:p>
    <w:p w:rsidR="00000000" w:rsidDel="00000000" w:rsidP="00000000" w:rsidRDefault="00000000" w:rsidRPr="00000000" w14:paraId="0000002A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color w:val="0e0e0e"/>
          <w:sz w:val="32"/>
          <w:szCs w:val="32"/>
          <w:rtl w:val="0"/>
        </w:rPr>
        <w:t xml:space="preserve">“That’s the framework. Change the unit economics by making AI native to how we operate, starting with GTM, measured by ARR per employee, and driven by organic inbound growth.</w:t>
      </w:r>
    </w:p>
    <w:p w:rsidR="00000000" w:rsidDel="00000000" w:rsidP="00000000" w:rsidRDefault="00000000" w:rsidRPr="00000000" w14:paraId="0000002B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220" w:firstLine="0"/>
        <w:rPr>
          <w:color w:val="0e0e0e"/>
          <w:sz w:val="32"/>
          <w:szCs w:val="32"/>
        </w:rPr>
      </w:pPr>
      <w:r w:rsidDel="00000000" w:rsidR="00000000" w:rsidRPr="00000000">
        <w:rPr>
          <w:color w:val="0e0e0e"/>
          <w:sz w:val="32"/>
          <w:szCs w:val="32"/>
          <w:rtl w:val="0"/>
        </w:rPr>
        <w:t xml:space="preserve">From there, we’ll track progress, refine, and scale what works.”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