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experience"/>
      <w:bookmarkEnd w:id="25"/>
      <w:r>
        <w:t xml:space="preserve">Related (K-12)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
      <w:bookmarkEnd w:id="41"/>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Heading3"/>
      </w:pPr>
      <w:bookmarkStart w:id="42" w:name="working-papers"/>
      <w:bookmarkEnd w:id="42"/>
      <w:r>
        <w:t xml:space="preserve">Working papers</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2"/>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
      <w:bookmarkEnd w:id="67"/>
      <w:r>
        <w:t xml:space="preserve">Fellowships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1"/>
      <w:bookmarkEnd w:id="73"/>
      <w:r>
        <w:t xml:space="preserve">Other Presentations</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BodyText"/>
      </w:pPr>
      <w:r>
        <w:t xml:space="preserve">State Educational Twitter Hashtags (SETHs):</w:t>
      </w:r>
      <w:r>
        <w:t xml:space="preserve"> </w:t>
      </w:r>
      <w:hyperlink r:id="rId83">
        <w:r>
          <w:rPr>
            <w:rStyle w:val="Hyperlink"/>
          </w:rPr>
          <w:t xml:space="preserve">https://jmichaelrosenberg.shinyapps.io/SETHs</w:t>
        </w:r>
      </w:hyperlink>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9" w:name="service-to-profession"/>
      <w:bookmarkEnd w:id="89"/>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ff83d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78"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2019-02-27T16:46:23Z</dcterms:created>
  <dcterms:modified xsi:type="dcterms:W3CDTF">2019-02-27T16:46:23Z</dcterms:modified>
</cp:coreProperties>
</file>