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w:t>
      </w:r>
      <w:r>
        <w:br w:type="textWrapping"/>
      </w:r>
      <w:r>
        <w:t xml:space="preserve">Shelby High School, Shelby, NC</w:t>
      </w:r>
    </w:p>
    <w:p>
      <w:pPr>
        <w:pStyle w:val="BodyText"/>
      </w:pPr>
      <w:r>
        <w:t xml:space="preserve">2009-2010, High School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p>
    <w:p>
      <w:pPr>
        <w:pStyle w:val="BodyText"/>
      </w:pPr>
      <w:r>
        <w:t xml:space="preserve">Henriksen, D., Mehta, R., &amp; Rosenberg, J. M. (accepted pending revisions). Supporting a creatively focused technology fluent mindset among educators: Survey results from a five-year inquiry into teachers’ confidence in using technology.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4" w:name="grants"/>
      <w:bookmarkEnd w:id="64"/>
      <w:r>
        <w:t xml:space="preserve">Grants</w:t>
      </w:r>
    </w:p>
    <w:p>
      <w:pPr>
        <w:pStyle w:val="FirstParagraph"/>
      </w:pPr>
      <w:r>
        <w:t xml:space="preserve">2019-2022, Co-PI, Mining the gap: Applying computational methods to better understand sources of achievement gap differences. William T. Grant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(2019, January). Engaging students in science: Findings from an experience sampling method approach. Presentation at the East Tennessee STEM Hub Crossing Boundaries for STEM Teaching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dc055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2019-02-01T17:19:38Z</dcterms:created>
  <dcterms:modified xsi:type="dcterms:W3CDTF">2019-02-01T17:19:38Z</dcterms:modified>
</cp:coreProperties>
</file>