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grants"/>
      <w:r>
        <w:t xml:space="preserve">Grants</w:t>
      </w:r>
      <w:bookmarkEnd w:id="26"/>
    </w:p>
    <w:p>
      <w:pPr>
        <w:pStyle w:val="Heading3"/>
      </w:pPr>
      <w:bookmarkStart w:id="27" w:name="funded-principal-investigator-pi-or-co-pi"/>
      <w:r>
        <w:t xml:space="preserve">Funded (Principal Investigator [PI] or Co-PI)</w:t>
      </w:r>
      <w:bookmarkEnd w:id="27"/>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8">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29">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30">
        <w:r>
          <w:rPr>
            <w:rStyle w:val="Hyperlink"/>
          </w:rPr>
          <w:t xml:space="preserve">1920796</w:t>
        </w:r>
      </w:hyperlink>
      <w:r>
        <w:t xml:space="preserve">)</w:t>
      </w:r>
    </w:p>
    <w:p>
      <w:pPr>
        <w:pStyle w:val="BodyText"/>
      </w:pPr>
      <w:r>
        <w:t xml:space="preserve">2020, Southeastern Conference (SEC) Visiting Faculty Travel Grant Program ($702)</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Heading3"/>
      </w:pPr>
      <w:bookmarkStart w:id="31" w:name="funded-senior-personnel-or-consultant"/>
      <w:r>
        <w:t xml:space="preserve">Funded (Senior Personnel or Consultant)</w:t>
      </w:r>
      <w:bookmarkEnd w:id="31"/>
    </w:p>
    <w:p>
      <w:pPr>
        <w:pStyle w:val="FirstParagraph"/>
      </w:pPr>
      <w:r>
        <w:t xml:space="preserve">2019-2022, Senior Personnel,</w:t>
      </w:r>
      <w:r>
        <w:t xml:space="preserve"> </w:t>
      </w:r>
      <w:r>
        <w:rPr>
          <w:i/>
        </w:rPr>
        <w:t xml:space="preserve">Medical entomology and geospatial analyses: Bringing innovation to teacher education and surveillance studies</w:t>
      </w:r>
      <w:r>
        <w:t xml:space="preserve"> </w:t>
      </w:r>
      <w:r>
        <w:t xml:space="preserve">($149,611;</w:t>
      </w:r>
      <w:r>
        <w:t xml:space="preserve"> </w:t>
      </w:r>
      <w:r>
        <w:rPr>
          <w:i/>
        </w:rPr>
        <w:t xml:space="preserve">PI</w:t>
      </w:r>
      <w:r>
        <w:t xml:space="preserve">: Rebecca Trout Fryxell). United States Department of Agriculture - Agriculture and Food Research Initiative. (USDA Grant No. 2019-68010-29119)</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Heading3"/>
      </w:pPr>
      <w:bookmarkStart w:id="32" w:name="completed"/>
      <w:r>
        <w:t xml:space="preserve">Completed</w:t>
      </w:r>
      <w:bookmarkEnd w:id="32"/>
    </w:p>
    <w:p>
      <w:pPr>
        <w:pStyle w:val="FirstParagraph"/>
      </w:pPr>
      <w:r>
        <w:t xml:space="preserve">2013, PI,</w:t>
      </w:r>
      <w:r>
        <w:t xml:space="preserve"> </w:t>
      </w:r>
      <w:r>
        <w:rPr>
          <w:i/>
        </w:rPr>
        <w:t xml:space="preserve">Basic biology for everyone</w:t>
      </w:r>
      <w:r>
        <w:t xml:space="preserve"> </w:t>
      </w:r>
      <w:r>
        <w:t xml:space="preserve">($2,000), Versal Foundation Grant</w:t>
      </w:r>
    </w:p>
    <w:p>
      <w:pPr>
        <w:pStyle w:val="Heading2"/>
      </w:pPr>
      <w:bookmarkStart w:id="33" w:name="fellowships-and-awards"/>
      <w:r>
        <w:t xml:space="preserve">Fellowships and Awards</w:t>
      </w:r>
      <w:bookmarkEnd w:id="33"/>
    </w:p>
    <w:p>
      <w:pPr>
        <w:pStyle w:val="FirstParagraph"/>
      </w:pPr>
      <w:r>
        <w:t xml:space="preserve">2019-2020, Initiative for the Future Faculty Development Program, University of Tennessee, Knoxville</w:t>
      </w:r>
    </w:p>
    <w:p>
      <w:pPr>
        <w:pStyle w:val="BodyText"/>
      </w:pPr>
      <w:r>
        <w:t xml:space="preserve">2019, Open Publishing Support Fund, University of Tennessee Libraries and Office of Research and Engagement,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Michigan State University</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4" w:name="publications"/>
      <w:r>
        <w:t xml:space="preserve">Publications</w:t>
      </w:r>
      <w:bookmarkEnd w:id="34"/>
    </w:p>
    <w:p>
      <w:pPr>
        <w:pStyle w:val="Heading3"/>
      </w:pPr>
      <w:bookmarkStart w:id="35" w:name="book"/>
      <w:r>
        <w:t xml:space="preserve">Book</w:t>
      </w:r>
      <w:bookmarkEnd w:id="35"/>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36" w:name="peer-reviewed-journal-articles"/>
      <w:r>
        <w:t xml:space="preserve">Peer-Reviewed Journal Articles</w:t>
      </w:r>
      <w:bookmarkEnd w:id="36"/>
    </w:p>
    <w:p>
      <w:pPr>
        <w:pStyle w:val="FirstParagraph"/>
      </w:pPr>
      <w:r>
        <w:t xml:space="preserve">Rosenberg, J. M., Edwards, A., &amp; Chen, B. (in press). Tools and strategies for engaging students in analyzing and interpreting complex data sources.</w:t>
      </w:r>
      <w:r>
        <w:t xml:space="preserve"> </w:t>
      </w:r>
      <w:r>
        <w:rPr>
          <w:i/>
        </w:rPr>
        <w:t xml:space="preserve">The Science Teacher</w:t>
      </w:r>
      <w:r>
        <w:t xml:space="preserve">.</w:t>
      </w:r>
      <w:r>
        <w:t xml:space="preserve"> </w:t>
      </w:r>
      <w:r>
        <w:t xml:space="preserve"> </w:t>
      </w:r>
    </w:p>
    <w:p>
      <w:pPr>
        <w:pStyle w:val="BodyText"/>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37">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38">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9">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40">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1">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42">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3">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4">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5">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6">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7">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8">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9">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50">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51">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52">
        <w:r>
          <w:rPr>
            <w:rStyle w:val="Hyperlink"/>
          </w:rPr>
          <w:t xml:space="preserve">http://dx.doi.org/10.1080/15391523.2015.1052663</w:t>
        </w:r>
      </w:hyperlink>
      <w:r>
        <w:t xml:space="preserve"> </w:t>
      </w:r>
    </w:p>
    <w:p>
      <w:pPr>
        <w:pStyle w:val="Heading3"/>
      </w:pPr>
      <w:bookmarkStart w:id="53" w:name="book-chapters"/>
      <w:r>
        <w:t xml:space="preserve">Book Chapters</w:t>
      </w:r>
      <w:bookmarkEnd w:id="53"/>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4" w:name="conference-proceedings-papers"/>
      <w:r>
        <w:t xml:space="preserve">Conference Proceedings Papers</w:t>
      </w:r>
      <w:bookmarkEnd w:id="54"/>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5">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6">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7">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8">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9">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60">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1">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2">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3">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4">
        <w:r>
          <w:rPr>
            <w:rStyle w:val="Hyperlink"/>
          </w:rPr>
          <w:t xml:space="preserve">http://www.editlib.org/p/48698git</w:t>
        </w:r>
      </w:hyperlink>
    </w:p>
    <w:p>
      <w:pPr>
        <w:pStyle w:val="Heading3"/>
      </w:pPr>
      <w:bookmarkStart w:id="65" w:name="editor-reviewed-publications"/>
      <w:r>
        <w:t xml:space="preserve">Editor-Reviewed Publications</w:t>
      </w:r>
      <w:bookmarkEnd w:id="65"/>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6">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6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6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7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7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72">
        <w:r>
          <w:rPr>
            <w:rStyle w:val="Hyperlink"/>
          </w:rPr>
          <w:t xml:space="preserve">https://mvlri.org/blog/student-motivation-in-online-science-courses-a-path-to-spending-more-time-on-course-and-higher-achievement/</w:t>
        </w:r>
      </w:hyperlink>
    </w:p>
    <w:p>
      <w:pPr>
        <w:pStyle w:val="Heading3"/>
      </w:pPr>
      <w:bookmarkStart w:id="73" w:name="unpublished-manuscripts"/>
      <w:r>
        <w:t xml:space="preserve">Unpublished Manuscripts</w:t>
      </w:r>
      <w:bookmarkEnd w:id="73"/>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4" w:name="presentations"/>
      <w:r>
        <w:t xml:space="preserve">Presentations</w:t>
      </w:r>
      <w:bookmarkEnd w:id="74"/>
    </w:p>
    <w:p>
      <w:pPr>
        <w:pStyle w:val="Heading3"/>
      </w:pPr>
      <w:bookmarkStart w:id="75" w:name="peer-reviewed-conference-presentations"/>
      <w:r>
        <w:t xml:space="preserve">Peer-Reviewed Conference Presentations</w:t>
      </w:r>
      <w:bookmarkEnd w:id="75"/>
    </w:p>
    <w:p>
      <w:pPr>
        <w:pStyle w:val="FirstParagraph"/>
      </w:pPr>
      <w:r>
        <w:t xml:space="preserve">Rosenberg, J. M., &amp; Lishinski, A. (2020, March).</w:t>
      </w:r>
      <w:r>
        <w:t xml:space="preserve"> </w:t>
      </w:r>
      <w:r>
        <w:rPr>
          <w:i/>
        </w:rPr>
        <w:t xml:space="preserve">Accruing Interest: What experiences contribute to students developing a sustained interest in computer science over time?</w:t>
      </w:r>
      <w:r>
        <w:t xml:space="preserve"> </w:t>
      </w:r>
      <w:r>
        <w:t xml:space="preserve">Lightning talk at the Special Interest Group on Computer Science Education Technical Sympsosium, Portland, OR.</w:t>
      </w:r>
    </w:p>
    <w:p>
      <w:pPr>
        <w:pStyle w:val="BodyText"/>
      </w:pPr>
      <w:r>
        <w:t xml:space="preserve">Lishinski, A., &amp; Rosenberg, J. M. (2020, March).</w:t>
      </w:r>
      <w:r>
        <w:t xml:space="preserve"> </w:t>
      </w:r>
      <w:r>
        <w:rPr>
          <w:i/>
        </w:rPr>
        <w:t xml:space="preserve">Variable interest rate: What experiences explain differences in interest in computer science among students?</w:t>
      </w:r>
      <w:r>
        <w:t xml:space="preserve"> </w:t>
      </w:r>
      <w:r>
        <w:t xml:space="preserve">Birds of a feather presentation at the Special Interest Group on Computer Science Education Technical Sympsosium, Portland, OR.</w:t>
      </w:r>
    </w:p>
    <w:p>
      <w:pPr>
        <w:pStyle w:val="BodyText"/>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
        </w:rPr>
        <w:t xml:space="preserve">Educators meet the fifth estate: Social media in education.</w:t>
      </w:r>
      <w:r>
        <w:t xml:space="preserve"> </w:t>
      </w:r>
      <w:r>
        <w:t xml:space="preserve">Symposium to be conducted at the American Educational Research Association Annual Meeting, San Francisco, CA.</w:t>
      </w:r>
    </w:p>
    <w:p>
      <w:pPr>
        <w:pStyle w:val="BodyText"/>
      </w:pPr>
      <w:r>
        <w:t xml:space="preserve">Rosenberg, J. M., Hodge, L., Bertling, J., &amp; King, S. (2020, April). Art as a context for data science: Explring fourth-grade students’ data visualization practices. In J. M. Rosenberg &amp; B. D. Chen (Chairs),</w:t>
      </w:r>
      <w:r>
        <w:t xml:space="preserve"> </w:t>
      </w:r>
      <w:r>
        <w:rPr>
          <w:i/>
        </w:rPr>
        <w:t xml:space="preserve">Exploring data science across the curriculum and across grade levels</w:t>
      </w:r>
      <w:r>
        <w:t xml:space="preserve">. Symposium to be conducted at the American Educational Research Association Annual Meeting, San Francisco, CA.</w:t>
      </w:r>
    </w:p>
    <w:p>
      <w:pPr>
        <w:pStyle w:val="BodyText"/>
      </w:pPr>
      <w:r>
        <w:t xml:space="preserve">Rosenberg, J. M., Carpenter, J. P., Romero-Hall, E., &amp; Kessler, A. (2020, April).</w:t>
      </w:r>
      <w:r>
        <w:t xml:space="preserve"> </w:t>
      </w:r>
      <w:r>
        <w:rPr>
          <w:i/>
        </w:rPr>
        <w:t xml:space="preserve">Teacher educators’ technology competencies and the importance of context</w:t>
      </w:r>
      <w:r>
        <w:t xml:space="preserve">. Paper to be presented at the American Educational Research Association Annual Meeting, San Francisco, CA.</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
        </w:rPr>
        <w:t xml:space="preserve">Affordances and modeling of intensive data</w:t>
      </w:r>
      <w:r>
        <w:t xml:space="preserve">. Symposium to be conducted at the American Educational Research Association Annual Meeting, San Francisco, CA.</w:t>
      </w:r>
    </w:p>
    <w:p>
      <w:pPr>
        <w:pStyle w:val="BodyText"/>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6" w:name="invited-talks"/>
      <w:r>
        <w:t xml:space="preserve">Invited Talks</w:t>
      </w:r>
      <w:bookmarkEnd w:id="76"/>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Heading3"/>
      </w:pPr>
      <w:bookmarkStart w:id="77" w:name="other-presentations"/>
      <w:r>
        <w:t xml:space="preserve">Other Presentations</w:t>
      </w:r>
      <w:bookmarkEnd w:id="77"/>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8" w:name="competitive-research-training"/>
      <w:r>
        <w:t xml:space="preserve">Competitive Research Training</w:t>
      </w:r>
      <w:bookmarkEnd w:id="78"/>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79" w:name="software-developed"/>
      <w:r>
        <w:t xml:space="preserve">Software Developed</w:t>
      </w:r>
      <w:bookmarkEnd w:id="79"/>
    </w:p>
    <w:p>
      <w:pPr>
        <w:pStyle w:val="Heading3"/>
      </w:pPr>
      <w:bookmarkStart w:id="80" w:name="r-packages-on-comprehensive-r-archive-network-cran"/>
      <w:r>
        <w:t xml:space="preserve">R packages on Comprehensive R Archive Network (CRAN)</w:t>
      </w:r>
      <w:bookmarkEnd w:id="80"/>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1">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2">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3">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4">
        <w:r>
          <w:rPr>
            <w:rStyle w:val="Hyperlink"/>
          </w:rPr>
          <w:t xml:space="preserve">https://github.com/alishinski/clustRcompaR</w:t>
        </w:r>
      </w:hyperlink>
    </w:p>
    <w:p>
      <w:pPr>
        <w:pStyle w:val="Heading3"/>
      </w:pPr>
      <w:bookmarkStart w:id="85" w:name="interactive-web-applications"/>
      <w:r>
        <w:t xml:space="preserve">Interactive Web Applications</w:t>
      </w:r>
      <w:bookmarkEnd w:id="85"/>
    </w:p>
    <w:p>
      <w:pPr>
        <w:pStyle w:val="FirstParagraph"/>
      </w:pPr>
      <w:r>
        <w:t xml:space="preserve">Rosenberg, J. M., Xu, R., &amp; Frank, K. A. (2019). Konfound-It!: Quantify the robustness of causal inferences.</w:t>
      </w:r>
      <w:r>
        <w:t xml:space="preserve"> </w:t>
      </w:r>
      <w:hyperlink r:id="rId86">
        <w:r>
          <w:rPr>
            <w:rStyle w:val="Hyperlink"/>
          </w:rPr>
          <w:t xml:space="preserve">http://konfound-it.com</w:t>
        </w:r>
      </w:hyperlink>
      <w:r>
        <w:t xml:space="preserve">.</w:t>
      </w:r>
    </w:p>
    <w:p>
      <w:pPr>
        <w:pStyle w:val="Heading2"/>
      </w:pPr>
      <w:bookmarkStart w:id="87" w:name="teaching"/>
      <w:r>
        <w:t xml:space="preserve">Teaching</w:t>
      </w:r>
      <w:bookmarkEnd w:id="87"/>
    </w:p>
    <w:p>
      <w:pPr>
        <w:pStyle w:val="Heading3"/>
      </w:pPr>
      <w:bookmarkStart w:id="88" w:name="teaching-awards"/>
      <w:r>
        <w:t xml:space="preserve">Teaching Awards</w:t>
      </w:r>
      <w:bookmarkEnd w:id="88"/>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9" w:name="courses-taught"/>
      <w:r>
        <w:t xml:space="preserve">Courses Taught</w:t>
      </w:r>
      <w:bookmarkEnd w:id="89"/>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0" w:name="service"/>
      <w:r>
        <w:t xml:space="preserve">Service</w:t>
      </w:r>
      <w:bookmarkEnd w:id="90"/>
    </w:p>
    <w:p>
      <w:pPr>
        <w:pStyle w:val="Heading3"/>
      </w:pPr>
      <w:bookmarkStart w:id="91" w:name="editorial-service"/>
      <w:r>
        <w:t xml:space="preserve">Editorial Service</w:t>
      </w:r>
      <w:bookmarkEnd w:id="91"/>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2" w:name="service-to-the-profession"/>
      <w:r>
        <w:t xml:space="preserve">Service to the Profession</w:t>
      </w:r>
      <w:bookmarkEnd w:id="92"/>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3" w:name="conference-review-activity"/>
      <w:r>
        <w:t xml:space="preserve">Conference Review Activity</w:t>
      </w:r>
      <w:bookmarkEnd w:id="93"/>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4" w:name="service-to-the-community"/>
      <w:r>
        <w:t xml:space="preserve">Service to the Community</w:t>
      </w:r>
      <w:bookmarkEnd w:id="94"/>
    </w:p>
    <w:p>
      <w:pPr>
        <w:pStyle w:val="FirstParagraph"/>
      </w:pPr>
      <w:r>
        <w:t xml:space="preserve">Reviewer, Proposals from Knox County Schools students for the NASA Student Spaceflight Experiment Program</w:t>
      </w:r>
    </w:p>
    <w:p>
      <w:pPr>
        <w:pStyle w:val="Heading3"/>
      </w:pPr>
      <w:bookmarkStart w:id="95" w:name="ad-hoc-journal-article-reviews"/>
      <w:r>
        <w:t xml:space="preserve">Ad-hoc Journal Article Reviews</w:t>
      </w:r>
      <w:bookmarkEnd w:id="95"/>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6" w:name="college-service"/>
      <w:r>
        <w:t xml:space="preserve">College Service</w:t>
      </w:r>
      <w:bookmarkEnd w:id="96"/>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7" w:name="departmental-service"/>
      <w:r>
        <w:t xml:space="preserve">Departmental Service</w:t>
      </w:r>
      <w:bookmarkEnd w:id="97"/>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8" w:name="program-service-and-service-on-student-committees"/>
      <w:r>
        <w:t xml:space="preserve">Program Service and Service on Student Committees</w:t>
      </w:r>
      <w:bookmarkEnd w:id="98"/>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9" w:name="workshops-and-outreach"/>
      <w:r>
        <w:t xml:space="preserve">Workshops and Outreach</w:t>
      </w:r>
      <w:bookmarkEnd w:id="99"/>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0">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1" w:name="campus-and-departmental-presentations"/>
      <w:r>
        <w:t xml:space="preserve">Campus and Departmental Presentations</w:t>
      </w:r>
      <w:bookmarkEnd w:id="101"/>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2" w:name="podcast"/>
      <w:r>
        <w:t xml:space="preserve">Podcast</w:t>
      </w:r>
      <w:bookmarkEnd w:id="102"/>
    </w:p>
    <w:p>
      <w:pPr>
        <w:pStyle w:val="FirstParagraph"/>
      </w:pPr>
      <w:r>
        <w:t xml:space="preserve">Co-host, the</w:t>
      </w:r>
      <w:r>
        <w:t xml:space="preserve"> </w:t>
      </w:r>
      <w:hyperlink r:id="rId103">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4" w:name="consulting"/>
      <w:r>
        <w:t xml:space="preserve">Consulting</w:t>
      </w:r>
      <w:bookmarkEnd w:id="104"/>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5" w:name="professional-affiliations"/>
      <w:r>
        <w:t xml:space="preserve">Professional Affiliations</w:t>
      </w:r>
      <w:bookmarkEnd w:id="105"/>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2019-11-30T00:30:50Z</dcterms:created>
  <dcterms:modified xsi:type="dcterms:W3CDTF">2019-11-30T00:30:50Z</dcterms:modified>
</cp:coreProperties>
</file>