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http://joshuamrosenberg.com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w:t>
      </w:r>
      <w:r>
        <w:br w:type="textWrapping"/>
      </w:r>
      <w:r>
        <w:t xml:space="preserve">Shelby High School, Shelby, NC</w:t>
      </w:r>
    </w:p>
    <w:p>
      <w:pPr>
        <w:pStyle w:val="BodyText"/>
      </w:pPr>
      <w:r>
        <w:t xml:space="preserve">2009-2010, High School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p>
    <w:p>
      <w:pPr>
        <w:pStyle w:val="BodyText"/>
      </w:pPr>
      <w:r>
        <w:t xml:space="preserve">Henriksen, D., Mehta, R., &amp; Rosenberg, J. M. (accepted pending revisions). Supporting a creatively focused technology fluent mindset among educators: Survey results from a five-year inquiry into teachers’ confidence in using technology.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schol science classes.</w:t>
      </w:r>
    </w:p>
    <w:p>
      <w:pPr>
        <w:pStyle w:val="BodyText"/>
      </w:pPr>
      <w:r>
        <w:t xml:space="preserve">Blondel, D. V., Sansone, A., Rosenberg, J. M., Yang, B. W., Linennbrink-Garcia, L., Schwarz-Bloom, R. D. (under review). Development of an online experiment platform (Rex) for high school biology.</w:t>
      </w:r>
    </w:p>
    <w:p>
      <w:pPr>
        <w:pStyle w:val="BodyText"/>
      </w:pPr>
      <w:r>
        <w:t xml:space="preserve">Rosenberg, J. M., &amp; Lawson, M. J. (under review). A qualitative investigation of students’ experiences of using a computational science simulation in an online high school physics class.</w:t>
      </w:r>
      <w:r>
        <w:t xml:space="preserve"> </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How youth experience work with data in summer STEM programs: Findings from an experience sampling approach.</w:t>
      </w:r>
      <w:r>
        <w:t xml:space="preserve"> </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6">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Jones, R. S., &amp; Rosenberg, J. M. (2019). Latent class modeling of whole class discussions about data, statistics, and probability. Proceedings of the 13th Annual Tennessee STEM Education Research Conference (to be posted).</w:t>
      </w:r>
    </w:p>
    <w:p>
      <w:pPr>
        <w:pStyle w:val="BodyText"/>
      </w:pPr>
      <w:r>
        <w:t xml:space="preserve">Lawson, M., &amp; Rosenberg, J. M. (2019). Better together? Findings from a combined, integrated STEM unit with pre-service mathematics and science teachers. Proceedings of the 13th Annual Tennessee STEM Education Research Conference (to be posted).</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w:t>
        </w:r>
      </w:hyperlink>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4" w:name="grants"/>
      <w:bookmarkEnd w:id="64"/>
      <w:r>
        <w:t xml:space="preserve">Grants</w:t>
      </w:r>
    </w:p>
    <w:p>
      <w:pPr>
        <w:pStyle w:val="FirstParagraph"/>
      </w:pPr>
      <w:r>
        <w:t xml:space="preserve">2019-2022, Co-PI, Mining the gap: Applying computational methods to better understand sources of achievement gap differences. William T. Grant Foundation.</w:t>
      </w:r>
    </w:p>
    <w:p>
      <w:pPr>
        <w:pStyle w:val="BodyText"/>
      </w:pPr>
      <w:r>
        <w:t xml:space="preserve">2019-2021, Co-PI, Exploring a youth STEM badge ecosystem: Analyzing autonomous motivation and instructional interaction (Pending). National Science Foundation.</w:t>
      </w:r>
    </w:p>
    <w:p>
      <w:pPr>
        <w:pStyle w:val="BodyText"/>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Versal Foundation Grant, Basic Biology for Everyone ($2,000), Versal, 2013</w:t>
      </w:r>
    </w:p>
    <w:p>
      <w:pPr>
        <w:pStyle w:val="Heading2"/>
      </w:pPr>
      <w:bookmarkStart w:id="65" w:name="fellowships"/>
      <w:bookmarkEnd w:id="65"/>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6" w:name="awards"/>
      <w:bookmarkEnd w:id="66"/>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7" w:name="presentations"/>
      <w:bookmarkEnd w:id="67"/>
      <w:r>
        <w:t xml:space="preserve">Presentations</w:t>
      </w:r>
    </w:p>
    <w:p>
      <w:pPr>
        <w:pStyle w:val="Heading3"/>
      </w:pPr>
      <w:bookmarkStart w:id="68" w:name="peer-reviewed-conference-presentations"/>
      <w:bookmarkEnd w:id="68"/>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9" w:name="invited-talk"/>
      <w:bookmarkEnd w:id="69"/>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0" w:name="competitive-research-training"/>
      <w:bookmarkEnd w:id="70"/>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1" w:name="software-developed"/>
      <w:bookmarkEnd w:id="71"/>
      <w:r>
        <w:t xml:space="preserve">Software Developed</w:t>
      </w:r>
    </w:p>
    <w:p>
      <w:pPr>
        <w:pStyle w:val="Heading3"/>
      </w:pPr>
      <w:bookmarkStart w:id="72" w:name="r-packages-on-comprehensive-r-archive-network-cran"/>
      <w:bookmarkEnd w:id="72"/>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3">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4">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5">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6">
        <w:r>
          <w:rPr>
            <w:rStyle w:val="Hyperlink"/>
          </w:rPr>
          <w:t xml:space="preserve">https://cran.r-project.org/web/packages/clustRcompaR/index.html</w:t>
        </w:r>
      </w:hyperlink>
      <w:r>
        <w:t xml:space="preserve"> </w:t>
      </w:r>
    </w:p>
    <w:p>
      <w:pPr>
        <w:pStyle w:val="Heading3"/>
      </w:pPr>
      <w:bookmarkStart w:id="77" w:name="interactive-web-applications"/>
      <w:bookmarkEnd w:id="77"/>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8">
        <w:r>
          <w:rPr>
            <w:rStyle w:val="Hyperlink"/>
          </w:rPr>
          <w:t xml:space="preserve">http://konfound-it.com</w:t>
        </w:r>
      </w:hyperlink>
      <w:r>
        <w:t xml:space="preserve">.</w:t>
      </w:r>
    </w:p>
    <w:p>
      <w:pPr>
        <w:pStyle w:val="BodyText"/>
      </w:pPr>
      <w:r>
        <w:t xml:space="preserve">State Educational Twitter Hashtags (SETHs):</w:t>
      </w:r>
      <w:r>
        <w:t xml:space="preserve"> </w:t>
      </w:r>
      <w:hyperlink r:id="rId79">
        <w:r>
          <w:rPr>
            <w:rStyle w:val="Hyperlink"/>
          </w:rPr>
          <w:t xml:space="preserve">https://jmichaelrosenberg.shinyapps.io/SETHs</w:t>
        </w:r>
      </w:hyperlink>
    </w:p>
    <w:p>
      <w:pPr>
        <w:pStyle w:val="Heading2"/>
      </w:pPr>
      <w:bookmarkStart w:id="80" w:name="teaching"/>
      <w:bookmarkEnd w:id="80"/>
      <w:r>
        <w:t xml:space="preserve">Teaching</w:t>
      </w:r>
    </w:p>
    <w:p>
      <w:pPr>
        <w:pStyle w:val="Heading3"/>
      </w:pPr>
      <w:bookmarkStart w:id="81" w:name="teaching-awards"/>
      <w:bookmarkEnd w:id="81"/>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2" w:name="courses-taught"/>
      <w:bookmarkEnd w:id="82"/>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3" w:name="service"/>
      <w:bookmarkEnd w:id="83"/>
      <w:r>
        <w:t xml:space="preserve">Service</w:t>
      </w:r>
    </w:p>
    <w:p>
      <w:pPr>
        <w:pStyle w:val="Heading3"/>
      </w:pPr>
      <w:bookmarkStart w:id="84" w:name="editorial-service"/>
      <w:bookmarkEnd w:id="84"/>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5" w:name="service-to-profession"/>
      <w:bookmarkEnd w:id="85"/>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6" w:name="conference-review-activity"/>
      <w:bookmarkEnd w:id="86"/>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7" w:name="service-to-the-community"/>
      <w:bookmarkEnd w:id="87"/>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8" w:name="ad-hoc-journal-article-reviews"/>
      <w:bookmarkEnd w:id="88"/>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9" w:name="departmental-service"/>
      <w:bookmarkEnd w:id="89"/>
      <w:r>
        <w:t xml:space="preserve">Departmental Service</w:t>
      </w:r>
    </w:p>
    <w:p>
      <w:pPr>
        <w:pStyle w:val="FirstParagraph"/>
      </w:pPr>
      <w:r>
        <w:rPr>
          <w:b/>
        </w:rPr>
        <w:t xml:space="preserve">University of Tennessee, Knoxville</w:t>
      </w:r>
    </w:p>
    <w:p>
      <w:pPr>
        <w:pStyle w:val="BodyText"/>
      </w:pPr>
      <w:r>
        <w:t xml:space="preserve">Committee member for 4 Master’s degree students (2019-present)</w:t>
      </w:r>
    </w:p>
    <w:p>
      <w:pPr>
        <w:pStyle w:val="BodyText"/>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0" w:name="workshops-and-outreach"/>
      <w:bookmarkEnd w:id="90"/>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1" w:name="campus-and-departmental-presentations"/>
      <w:bookmarkEnd w:id="91"/>
      <w:r>
        <w:t xml:space="preserve">Campus and Departmental Presentations</w:t>
      </w:r>
    </w:p>
    <w:p>
      <w:pPr>
        <w:pStyle w:val="FirstParagraph"/>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2" w:name="consulting"/>
      <w:bookmarkEnd w:id="92"/>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3" w:name="professional-affiliations"/>
      <w:bookmarkEnd w:id="93"/>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b26b66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78"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78"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2019-02-01T17:31:44Z</dcterms:created>
  <dcterms:modified xsi:type="dcterms:W3CDTF">2019-02-01T17:31:44Z</dcterms:modified>
</cp:coreProperties>
</file>