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research-interests"/>
      <w:bookmarkEnd w:id="23"/>
      <w:r>
        <w:t xml:space="preserve">Research Interests</w:t>
      </w:r>
    </w:p>
    <w:p>
      <w:pPr>
        <w:pStyle w:val="FirstParagraph"/>
      </w:pPr>
      <w:r>
        <w:t xml:space="preserve">Science education, data science education, quantitative and computational research methods, educational technology</w:t>
      </w:r>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6" w:name="related-k-12-teaching-experience"/>
      <w:bookmarkEnd w:id="26"/>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Schwarz-Bloom, R. D. (in press). Development of an online experiment platform (Rex) for high school biology.</w:t>
      </w:r>
      <w:r>
        <w:t xml:space="preserve"> </w:t>
      </w:r>
      <w:r>
        <w:rPr>
          <w:i/>
        </w:rPr>
        <w:t xml:space="preserve">Journal of Formative Design for Learning</w:t>
      </w:r>
      <w:r>
        <w:t xml:space="preserve">.</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bookmarkEnd w:id="44"/>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bookmarkEnd w:id="45"/>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bookmarkEnd w:id="56"/>
      <w:r>
        <w:t xml:space="preserve">Editor-Reviewed Publications</w:t>
      </w:r>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BodyText"/>
      </w:pPr>
      <w:r>
        <w:t xml:space="preserve">Schmidt, J. A., Beymer, P. N., Rosenberg, J. M., Naftzger, N., &amp; Shumow, L. (under review). Experiences, activities, and personal characteristics as predictors of engagement in STEM-focused summer programs.</w:t>
      </w:r>
    </w:p>
    <w:p>
      <w:pPr>
        <w:pStyle w:val="BodyText"/>
      </w:pPr>
      <w:r>
        <w:t xml:space="preserve">Anderson, D., Rowlew, B., Irvin, P. S., Rosenberg, J. M., &amp; Stegenga, S. (under review). Evaluating content-related validity evidence using a text-based, machine learning procedure.</w:t>
      </w:r>
    </w:p>
    <w:p>
      <w:pPr>
        <w:pStyle w:val="BodyText"/>
      </w:pPr>
      <w:r>
        <w:t xml:space="preserve">Akcaoglu, M., Rosenberg, J. M., Hodges, C., &amp; Hilpert, J. (under review). An exploration of factors impacting middle school students’ attitudes toward computer programming.</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bookmarkEnd w:id="65"/>
      <w:r>
        <w:t xml:space="preserve">Unpublished Manuscripts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7">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8">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79">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0">
        <w:r>
          <w:rPr>
            <w:rStyle w:val="Hyperlink"/>
          </w:rPr>
          <w:t xml:space="preserve">https://github.com/alishinski/clustRcompaR</w:t>
        </w:r>
      </w:hyperlink>
    </w:p>
    <w:p>
      <w:pPr>
        <w:pStyle w:val="Heading3"/>
      </w:pPr>
      <w:bookmarkStart w:id="81" w:name="interactive-web-applications"/>
      <w:bookmarkEnd w:id="81"/>
      <w:r>
        <w:t xml:space="preserve">Interactive Web Applications</w:t>
      </w:r>
    </w:p>
    <w:p>
      <w:pPr>
        <w:pStyle w:val="FirstParagraph"/>
      </w:pPr>
      <w:r>
        <w:t xml:space="preserve">Rosenberg, J. M., Xu, R., &amp; Frank, K. A. (2018). Konfound-It!: Quantify the Robustness of Causal Inferences.</w:t>
      </w:r>
      <w:r>
        <w:t xml:space="preserve"> </w:t>
      </w:r>
      <w:hyperlink r:id="rId82">
        <w:r>
          <w:rPr>
            <w:rStyle w:val="Hyperlink"/>
          </w:rPr>
          <w:t xml:space="preserve">http://konfound-it.com</w:t>
        </w:r>
      </w:hyperlink>
      <w:r>
        <w:t xml:space="preserve">.</w:t>
      </w:r>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8" w:name="service-to-the-profession"/>
      <w:bookmarkEnd w:id="88"/>
      <w:r>
        <w:t xml:space="preserve">Service to the Profession</w:t>
      </w:r>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for theNASA Student Spaceflight Experiment Program</w:t>
      </w:r>
    </w:p>
    <w:p>
      <w:pPr>
        <w:pStyle w:val="Heading3"/>
      </w:pPr>
      <w:bookmarkStart w:id="91" w:name="ad-hoc-journal-article-reviews"/>
      <w:bookmarkEnd w:id="91"/>
      <w:r>
        <w:t xml:space="preserve">Ad-hoc Journal Article Reviews</w:t>
      </w:r>
    </w:p>
    <w:p>
      <w:pPr>
        <w:pStyle w:val="FirstParagraph"/>
      </w:pPr>
      <w:r>
        <w:t xml:space="preserve">AERA Open, Education Sciences (2), Journal of Open Source Education,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service-to-the-community-1"/>
      <w:bookmarkEnd w:id="93"/>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4" w:name="workshops-and-outreach"/>
      <w:bookmarkEnd w:id="94"/>
      <w:r>
        <w:t xml:space="preserve">Workshops and Outreach</w:t>
      </w:r>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5" w:name="campus-and-departmental-presentations"/>
      <w:bookmarkEnd w:id="95"/>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6" w:name="consulting"/>
      <w:bookmarkEnd w:id="96"/>
      <w:r>
        <w:t xml:space="preserve">Consulting</w:t>
      </w:r>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7" w:name="professional-affiliations"/>
      <w:bookmarkEnd w:id="97"/>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3dce4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79" Target="https://CRAN.R-project.org/package=prcr" TargetMode="External" /><Relationship Type="http://schemas.openxmlformats.org/officeDocument/2006/relationships/hyperlink" Id="rId77" Target="https://data-edu.github.io/tidyLPA/"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0"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2019-05-19T23:04:02Z</dcterms:created>
  <dcterms:modified xsi:type="dcterms:W3CDTF">2019-05-19T23:04:02Z</dcterms:modified>
</cp:coreProperties>
</file>