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FirstParagraph"/>
      </w:pPr>
      <w:r>
        <w:t xml:space="preserve">AERA Open (2019), Asia-Pacific Education Researcher (2018), Australasian Journal of Educational Technology (2; 2018), British Journal of Educational Technology (2016), Computers &amp; Education (2016, 2017, 2018), Contemporary Educational Psychology (2018), Contemporary Issues in Technology and Teacher Education (2015), Education Sciences (2; 2019), E-Learning and Digital Media (2; 2016), Journal of Educational Technology &amp; Society (2017), Journal of the Learning Sciences (2019), Journal of Open Source Education (2; 2019), Journal of Open Source Software (2018), Journal of Research in Science Teaching (2019), Journal of Science Education and Technology (2; 2019), Journal of STEM Education Research (2019), TechTrends (2; 2018, 2019)</w:t>
      </w:r>
    </w:p>
    <w:p>
      <w:pPr>
        <w:pStyle w:val="Heading3"/>
      </w:pPr>
      <w:bookmarkStart w:id="104" w:name="college-related-service"/>
      <w:r>
        <w:t xml:space="preserve">College-related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2019-12-31T20:13:24Z</dcterms:created>
  <dcterms:modified xsi:type="dcterms:W3CDTF">2019-12-31T20:13:24Z</dcterms:modified>
</cp:coreProperties>
</file>