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2020, Southeastern Conference (SEC) Visiting Faculty Travel Grant Program ($702)</w:t>
      </w:r>
    </w:p>
    <w:p>
      <w:pPr>
        <w:pStyle w:val="BodyText"/>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departmental-service"/>
      <w:r>
        <w:t xml:space="preserve">Departmental Service</w:t>
      </w:r>
      <w:bookmarkEnd w:id="93"/>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service-to-the-community-1"/>
      <w:r>
        <w:t xml:space="preserve">Service to the Community</w:t>
      </w:r>
      <w:bookmarkEnd w:id="94"/>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5" w:name="workshops-and-outreach"/>
      <w:r>
        <w:t xml:space="preserve">Workshops and Outreach</w:t>
      </w:r>
      <w:bookmarkEnd w:id="95"/>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6">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7" w:name="campus-and-departmental-presentations"/>
      <w:r>
        <w:t xml:space="preserve">Campus and Departmental Presentations</w:t>
      </w:r>
      <w:bookmarkEnd w:id="97"/>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8" w:name="podcast"/>
      <w:r>
        <w:t xml:space="preserve">Podcast</w:t>
      </w:r>
      <w:bookmarkEnd w:id="98"/>
    </w:p>
    <w:p>
      <w:pPr>
        <w:pStyle w:val="FirstParagraph"/>
      </w:pPr>
      <w:r>
        <w:t xml:space="preserve">Co-host of the</w:t>
      </w:r>
      <w:r>
        <w:t xml:space="preserve"> </w:t>
      </w:r>
      <w:hyperlink r:id="rId99">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0" w:name="consulting"/>
      <w:r>
        <w:t xml:space="preserve">Consulting</w:t>
      </w:r>
      <w:bookmarkEnd w:id="100"/>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1" w:name="professional-affiliations"/>
      <w:r>
        <w:t xml:space="preserve">Professional Affiliations</w:t>
      </w:r>
      <w:bookmarkEnd w:id="101"/>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2019-08-03T18:17:21Z</dcterms:created>
  <dcterms:modified xsi:type="dcterms:W3CDTF">2019-08-03T18:17:21Z</dcterms:modified>
</cp:coreProperties>
</file>