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BodyText"/>
      </w:pPr>
      <w:r>
        <w:t xml:space="preserve">Rosenberg, J. M., &amp; Lawson, M. J. (under review). A qualitative investigation of students’ experiences of using a computational science simulation in an online high school physics class.</w:t>
      </w:r>
      <w:r>
        <w:t xml:space="preserve"> </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2019-2022, Co-PI, Mining the gap: Applying computational methods to better understand sources of achievement gap differences (Pending).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cbe36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2019-02-13T17:45:14Z</dcterms:created>
  <dcterms:modified xsi:type="dcterms:W3CDTF">2019-02-13T17:45:14Z</dcterms:modified>
</cp:coreProperties>
</file>