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7"/>
        <w:gridCol w:w="2881"/>
        <w:gridCol w:w="30"/>
        <w:gridCol w:w="2686"/>
        <w:gridCol w:w="5596"/>
        <w:gridCol w:w="715"/>
        <w:gridCol w:w="713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Player cannot reach betting limit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ind w:left="0" w:firstLine="48"/>
              <w:rPr/>
            </w:pPr>
            <w:r>
              <w:rPr>
                <w:color w:val="0000FF"/>
                <w:sz w:val="24"/>
                <w:szCs w:val="24"/>
              </w:rPr>
              <w:t>Player never reaches a balance of “0”.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ind w:left="0" w:firstLine="48"/>
              <w:rPr/>
            </w:pPr>
            <w:r>
              <w:rPr>
                <w:color w:val="0000FF"/>
                <w:sz w:val="24"/>
                <w:szCs w:val="24"/>
              </w:rPr>
              <w:t>A player exists who has a balance sufficient to place a bet. Player bets until no money remains in balance and the program rejects them making further bets.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The player will still have some money in their account and will not have used it all.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covers reported Bug 2</w:t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/>
            <w:shd w:color="auto" w:fill="C0C0C0" w:val="clear"/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5" w:type="dxa"/>
            <w:tcBorders/>
            <w:shd w:color="auto" w:fill="C0C0C0" w:val="clear"/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3" w:type="dxa"/>
            <w:tcBorders/>
            <w:shd w:color="auto" w:fill="C0C0C0" w:val="clear"/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spacing w:before="80" w:after="8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7" w:type="dxa"/>
            <w:gridSpan w:val="3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/>
            </w:pPr>
            <w:r>
              <w:rPr>
                <w:sz w:val="24"/>
              </w:rPr>
              <w:t>Set DiceValue.RANDOM seed to 1.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spacing w:before="80" w:after="8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/>
            </w:pPr>
            <w:r>
              <w:rPr>
                <w:sz w:val="24"/>
              </w:rPr>
              <w:t>Run “main.java” file provided with the application.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</w:rPr>
              <w:t>Every game played will cause the player “Fred” to have atleast 5 in their balance.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pBdr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orient="landscape" w:w="15840" w:h="122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Bp"/>
        <w:spacing w:before="0" w:after="0"/>
        <w:rPr/>
      </w:pPr>
      <w:r>
        <w:rPr/>
      </w:r>
    </w:p>
    <w:sectPr>
      <w:type w:val="continuous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w:rPr/>
      <w:b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1650" cy="1498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98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9.5pt;height:11.8pt;mso-wrap-distance-left:0pt;mso-wrap-distance-right:0pt;mso-wrap-distance-top:0pt;mso-wrap-distance-bottom:0pt;margin-top:0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of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b/>
            </w:rPr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Player cannot reach betting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14/10/2015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12</TotalTime>
  <Application>LibreOffice/5.0.1.2$Windows_X86_64 LibreOffice_project/81898c9f5c0d43f3473ba111d7b351050be20261</Application>
  <Paragraphs>29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2015-10-14T20:34:59Z</dcterms:modified>
  <cp:revision>2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