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Clearpath Financial Planner — Plain English Rules</w:t>
      </w:r>
    </w:p>
    <w:p>
      <w:r>
        <w:rPr>
          <w:i/>
          <w:iCs/>
          <w:color w:val="888888"/>
        </w:rPr>
        <w:t xml:space="preserve">Version: 1.1  |  Project: Clearpath  |  Source: Australian financial modelling workbook</w:t>
      </w:r>
    </w:p>
    <w:p/>
    <w:p>
      <w:r>
        <w:t xml:space="preserve">This document translates the Excel workbook logic into plain English rules for the app and AI planning agent. It contains no personal financial data. Rules are written as behavioural, calculation and interpretation instructions.</w:t>
      </w:r>
    </w:p>
    <w:p/>
    <w:p>
      <w:r>
        <w:rPr>
          <w:b/>
          <w:bCs/>
        </w:rPr>
        <w:t xml:space="preserve">Important guardrail: The AI must present outputs as guidance and modelling, not personal financial advice. Where a recommendation affects tax, superannuation, debt restructuring, investment allocation, insurance or retirement income strategy, the app should suggest reviewing the matter with a qualified adviser (AFSL holder).</w:t>
      </w:r>
    </w:p>
    <w:p/>
    <w:p>
      <w:pPr>
        <w:pStyle w:val="Heading2"/>
      </w:pPr>
      <w:r>
        <w:t xml:space="preserve">1. Household Profile and Planning Horizon</w:t>
      </w:r>
    </w:p>
    <w:p>
      <w:r>
        <w:t xml:space="preserve">Establish the user, household structure, time horizon and retirement timeline. These inputs drive every later projection.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Calculate planning horizon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Use current age, partner age, target retirement age and life expectancy to calculate years to retirement and years in retirement.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Retirement timing flag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target retirement age is less than preservation age (60), flag that super may not be accessible at the nominated date and another funding source is required.</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Partner age gap logic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partner age differs materially, calculate retirement years separately for each person rather than assuming the household retires together.</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Dependants flag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children or dependants are present, prompt for education, childcare, family insurance and estate-planning considerations.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Life expectancy sensitivity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life expectancy is set below 90, offer a sensitivity scenario — plans can fail if longevity is underestimated.</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Single vs couple logic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One adult: disable partner income, partner super and spouse retirement fields. Couple: calculate both individual and combined outcomes.</w:t>
            </w:r>
          </w:p>
        </w:tc>
      </w:tr>
    </w:tbl>
    <w:p/>
    <w:p>
      <w:pPr>
        <w:pStyle w:val="Heading2"/>
      </w:pPr>
      <w:r>
        <w:t xml:space="preserve">2. Income, Tax and Cashflow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Gross to net income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Calculate tax and Medicare levy from taxable income, then estimate net income available to the household.</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Income after retirement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When a person reaches retirement age, set employment income to zero unless part-time or passive income is entered.</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Savings capacity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Annual surplus = net household income minus living costs, debt repayments and property cashflow impacts.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Savings 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Savings rate = annual surplus divided by net household income.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Savings rate concern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Below 10%: flag concern, suggest reviewing spending, debt structure or income assumptions.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Strong savings signal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Above 20%: flag strong capacity, suggest testing accelerated debt reduction, extra super or investment scenarios.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Negative cashflow flag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annual cashflow is negative before retirement, warn that the plan relies on drawing down savings or increasing debt.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Income concentration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one person earns more than 70% of household income, flag reliance on a single income source and suggest reviewing insurance and emergency reserves.</w:t>
            </w:r>
          </w:p>
        </w:tc>
      </w:tr>
    </w:tbl>
    <w:p/>
    <w:p>
      <w:pPr>
        <w:pStyle w:val="Heading2"/>
      </w:pPr>
      <w:r>
        <w:t xml:space="preserve">3. Budget and Spending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Annualise spending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Convert monthly and irregular expenses into annual spending by category.</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Essential vs discretionary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Classify into essentials, lifestyle, family and financial commitments to show flexible vs fixed spending.</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High fixed-cost warning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essential and debt-related costs exceed 60% of net income, flag reduced flexibility.</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Lifestyle inflation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spending grows faster than inflation assumption, warn that retirement target spending may need to rise.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Irregular expense smoothing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Treat annual, quarterly and irregular costs as monthly equivalents to avoid understating true spending.</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Retirement spending baseline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Use current lifestyle spending as the starting point, then allow user to adjust desired retirement lifestyle.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Missing budget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budget is incomplete, use conservative default assumptions and label results as lower confidence.</w:t>
            </w:r>
          </w:p>
        </w:tc>
      </w:tr>
    </w:tbl>
    <w:p/>
    <w:p>
      <w:pPr>
        <w:pStyle w:val="Heading2"/>
      </w:pPr>
      <w:r>
        <w:t xml:space="preserve">4. Assets, Liquidity and Emergency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Net worth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Total net worth = assets minus liabilities. Show property, super, investments and cash separately.</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Liquid assets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Liquid assets = cash, offset and readily accessible investments (excludes super and property equity).</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Emergency runway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Months of runway = liquid assets divided by average monthly essential spending.</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Emergency concern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Below 3 months: flag as high priority to build cash or offset buffer.</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Emergency adequate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3 to 6 months: mark as reasonable but monitor if income is variable.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Emergency strong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Above 6 months: mark as strong, suggest whether excess should stay in offset, investments or super.</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Asset-rich, cash-poor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net worth is high but liquid assets are low, warn the household may be asset-rich but cash-constrained.</w:t>
            </w:r>
          </w:p>
        </w:tc>
      </w:tr>
    </w:tbl>
    <w:p/>
    <w:p>
      <w:pPr>
        <w:pStyle w:val="Heading2"/>
      </w:pPr>
      <w:r>
        <w:t xml:space="preserve">5. Debt and Mortgage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Effective mortgage balance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Effective balance = loan balance minus offset balance (floor of zero).</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Interest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Annual interest = effective mortgage balance multiplied by interest rate.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Loan type logic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Interest-only: calculate interest only until IO period ends, then switch to P&amp;I.</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Debt-to-income warning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total debt exceeds 5 times gross household income, flag leverage risk.</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High interest debt priority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credit card or personal loan debt exists, flag as priority before extra investing.</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Offset benefit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Estimate and show interest saved from holding cash in offset vs standard account.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Retirement debt flag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mortgage debt remains at retirement, flag that drawdown strategy may need adjustment.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Debt-free milestone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Calculate estimated debt-free year under current and accelerated repayment scenarios.</w:t>
            </w:r>
          </w:p>
        </w:tc>
      </w:tr>
    </w:tbl>
    <w:p/>
    <w:p>
      <w:pPr>
        <w:pStyle w:val="Heading2"/>
      </w:pPr>
      <w:r>
        <w:t xml:space="preserve">6. Property and Investment Property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Property equity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Equity = current property value minus outstanding loan balance.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Property value growth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Apply scenario property growth assumptions to project future values.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Gross rental yield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Yield = annual rent divided by property value.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Net rental cashflow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Net cashflow = rent minus deductible and non-deductible property expenses and interest.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Negative gearing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deductible expenses and interest exceed rental income, apply rental loss against taxable income per Australian tax rules.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Positive gearing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rental income exceeds deductible expenses and interest, treat net rental as taxable income.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Vacancy allowance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vacancy not entered, use a conservative default (e.g. 2-3 weeks/year) and prompt the user.</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Body corporate 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Separate admin fees from capital works fees — different tax and cashflow treatment.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Maintenance 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repairs and maintenance are zero, prompt for a maintenance allowance — zero is unrealistic over long horizons.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Concentration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property equity exceeds 70% of total net worth excluding super, flag concentration risk.</w:t>
            </w:r>
          </w:p>
        </w:tc>
      </w:tr>
    </w:tbl>
    <w:p/>
    <w:p>
      <w:pPr>
        <w:pStyle w:val="Heading2"/>
      </w:pPr>
      <w:r>
        <w:t xml:space="preserve">7. Superannuation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Employer contribution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Calculate employer contributions using gross income and SG rate (currently 12%).</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Contribution tax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Apply 15% concessional contribution tax to employer and salary sacrifice contributions.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Concessional cap warning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employer plus salary sacrifice exceeds $30,000 cap (FY2025-26), flag potential excess contribution risk.</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Retirement contribution stop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When person retires, stop employer contributions unless ongoing employment income is entered.</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Super growth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Project balance using contribution inflows, contribution tax and investment return assumptions.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Access warning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retirement age is below preservation age (60), show that super may not be available immediately.</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Super adequacy indicator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Compare projected super at retirement with target retirement spending. Flag if super alone cannot support desired spending horizon.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Simple benchmark flag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balance is below age x $5,000, suggest reviewing contributions. Label as engagement benchmark only, not advice.</w:t>
            </w:r>
          </w:p>
        </w:tc>
      </w:tr>
    </w:tbl>
    <w:p/>
    <w:p>
      <w:pPr>
        <w:pStyle w:val="Heading2"/>
      </w:pPr>
      <w:r>
        <w:t xml:space="preserve">8. Investments and Other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Investment growth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Project non-super investments using scenario return assumptions net of contributions and withdrawals.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Accessible capital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Treat non-super investments as accessible before preservation age, unlike super.</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Risk consistency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user selects aggressive returns but low risk tolerance, flag inconsistency.</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Diversification prompt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most non-property assets are in one asset class, flag diversification risk.</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Low investment 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all surplus is held in cash and retirement is 10+ years away, suggest testing an investment scenario.</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Tax caveat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Capital gains, franking credits and detailed investment tax should be flagged for adviser review.</w:t>
            </w:r>
          </w:p>
        </w:tc>
      </w:tr>
    </w:tbl>
    <w:p/>
    <w:p>
      <w:pPr>
        <w:pStyle w:val="Heading2"/>
      </w:pPr>
      <w:r>
        <w:t xml:space="preserve">9. Retirement Spending and Drawdown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Target spending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Use target retirement spending as the annual after-tax lifestyle requirement in retirement.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Inflation-adjusted spending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Increase retirement spending each year by inflation unless user selects fixed real spending.</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Drawdown sequence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Use accessible cash and investments before super if retiring before preservation age, then allow super drawdown.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Safe withdrawal comparison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Compare target spending to safe withdrawal amount calculated from investable retirement assets.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Withdrawal concern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Above 5%: flag sustainability risk.</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Withdrawal comfortable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Below 4%: mark as broadly more comfortable, subject to market risk.</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Retirement shortfall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projected assets fall below zero before life expectancy, show shortfall year and estimated amount.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Retirement surplus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assets remain at life expectancy, show estimated remaining estate value.</w:t>
            </w:r>
          </w:p>
        </w:tc>
      </w:tr>
    </w:tbl>
    <w:p/>
    <w:p>
      <w:pPr>
        <w:pStyle w:val="Heading2"/>
      </w:pPr>
      <w:r>
        <w:t xml:space="preserve">10. Scenario and Sensitivity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Scenario separation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Facts (age, income, balances, debt) remain separate from assumptions (return, inflation, growth).</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Base scenario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Use balanced long-term assumptions. Present as the main planning case.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Conservative scenario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Use lower returns, higher inflation or later retirement to stress-test the plan.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Aggressive scenario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Use higher returns, lower inflation or earlier retirement. Label as higher uncertainty.</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Scenario comparison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Show differences in retirement date, net worth, probability of success and cashflow resilience.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Assumption warning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small assumption changes create large outcome differences, flag the plan as sensitive and needing regular review.</w:t>
            </w:r>
          </w:p>
        </w:tc>
      </w:tr>
    </w:tbl>
    <w:p/>
    <w:p>
      <w:pPr>
        <w:pStyle w:val="Heading2"/>
      </w:pPr>
      <w:r>
        <w:t xml:space="preserve">11. Monte Carlo and Probability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Simulation purpose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Monte Carlo tests whether the plan survives many return paths, not just one average-return path.</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Success definition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Success = assets remain above zero through life expectancy while funding target retirement spending.</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Probability strong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85% or above: mark as strong but not guaranteed.</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Probability watch zone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70% to 84%: mark as workable but sensitive.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Probability concern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Below 70%: flag that the plan likely needs adjustment.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Downside case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Show a poor-market path to illustrate sequence-of-returns risk.</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Sequence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If retirement starts soon and portfolio volatility is high, flag sequence-of-returns risk explicitly.</w:t>
            </w:r>
          </w:p>
        </w:tc>
      </w:tr>
    </w:tbl>
    <w:p/>
    <w:p>
      <w:pPr>
        <w:pStyle w:val="Heading2"/>
      </w:pPr>
      <w:r>
        <w:t xml:space="preserve">12. Insight and Recommendation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6B5E" w:val="clear"/>
            <w:tcMar>
              <w:top w:type="dxa" w:w="80"/>
              <w:left w:type="dxa" w:w="120"/>
              <w:bottom w:type="dxa" w:w="80"/>
              <w:right w:type="dxa" w:w="120"/>
            </w:tcMar>
          </w:tcPr>
          <w:p>
            <w:r>
              <w:rPr>
                <w:b/>
                <w:bCs/>
                <w:color w:val="FFFFFF"/>
              </w:rPr>
              <w:t xml:space="preserve">Rule</w:t>
            </w:r>
          </w:p>
        </w:tc>
        <w:tc>
          <w:tcPr>
            <w:tcW w:type="dxa" w:w="6240"/>
            <w:tcBorders>
              <w:top w:val="single" w:color="CCCCCC" w:sz="1"/>
              <w:left w:val="single" w:color="CCCCCC" w:sz="1"/>
              <w:bottom w:val="single" w:color="CCCCCC" w:sz="1"/>
              <w:right w:val="single" w:color="CCCCCC" w:sz="1"/>
            </w:tcBorders>
            <w:shd w:fill="2E5248" w:val="clear"/>
            <w:tcMar>
              <w:top w:type="dxa" w:w="80"/>
              <w:left w:type="dxa" w:w="120"/>
              <w:bottom w:type="dxa" w:w="80"/>
              <w:right w:type="dxa" w:w="120"/>
            </w:tcMar>
          </w:tcPr>
          <w:p>
            <w:r>
              <w:rPr>
                <w:color w:val="FFFFFF"/>
              </w:rPr>
              <w:t xml:space="preserve">Plain English Instruction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Prioritisation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Rank actions by urgency, financial impact and reversibility.</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Quick wins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Highlight actions that improve the plan without major lifestyle change (offset optimisation, unused expense cancellation).</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Major strategy flags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Flag for adviser review: debt restructuring, tax strategy, contribution strategy, investment allocation, drawdown sequencing.</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Confidence labels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Label outputs as high, medium or low confidence based on completeness and quality of inputs.</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No overstatement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Never say the user is guaranteed to achieve an outcome. Use: on track, at risk, sensitive, requires review.</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Explain drivers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For every result, explain top drivers: income, spending, debt, super, return, property growth, retirement age.</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b/>
                <w:bCs/>
                <w:color w:val="0F1117"/>
              </w:rPr>
              <w:t xml:space="preserve">Action plan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rPr>
              <w:t xml:space="preserve">Convert results into staged actions: next 30 days, next 12 months, and annual review.</w:t>
            </w:r>
          </w:p>
        </w:tc>
      </w:tr>
    </w:tbl>
    <w:p/>
    <w:p>
      <w:pPr>
        <w:pStyle w:val="Heading2"/>
      </w:pPr>
      <w:r>
        <w:t xml:space="preserve">AI Behaviour Guardrails</w:t>
      </w:r>
    </w:p>
    <w:p>
      <w:pPr>
        <w:pStyle w:val="ListParagraph"/>
        <w:numPr>
          <w:ilvl w:val="0"/>
          <w:numId w:val="2"/>
        </w:numPr>
      </w:pPr>
      <w:r>
        <w:t xml:space="preserve">Do not present outputs as personal financial advice</w:t>
      </w:r>
    </w:p>
    <w:p>
      <w:pPr>
        <w:pStyle w:val="ListParagraph"/>
        <w:numPr>
          <w:ilvl w:val="0"/>
          <w:numId w:val="2"/>
        </w:numPr>
      </w:pPr>
      <w:r>
        <w:t xml:space="preserve">Always show that results depend on user inputs and assumptions</w:t>
      </w:r>
    </w:p>
    <w:p>
      <w:pPr>
        <w:pStyle w:val="ListParagraph"/>
        <w:numPr>
          <w:ilvl w:val="0"/>
          <w:numId w:val="2"/>
        </w:numPr>
      </w:pPr>
      <w:r>
        <w:t xml:space="preserve">Use plain English and avoid spreadsheet terminology unless the user asks for it</w:t>
      </w:r>
    </w:p>
    <w:p>
      <w:pPr>
        <w:pStyle w:val="ListParagraph"/>
        <w:numPr>
          <w:ilvl w:val="0"/>
          <w:numId w:val="2"/>
        </w:numPr>
      </w:pPr>
      <w:r>
        <w:t xml:space="preserve">Where data is missing, ask for it or clearly mark the result as estimated</w:t>
      </w:r>
    </w:p>
    <w:p>
      <w:pPr>
        <w:pStyle w:val="ListParagraph"/>
        <w:numPr>
          <w:ilvl w:val="0"/>
          <w:numId w:val="2"/>
        </w:numPr>
      </w:pPr>
      <w:r>
        <w:t xml:space="preserve">Avoid recommending specific financial products</w:t>
      </w:r>
    </w:p>
    <w:p>
      <w:pPr>
        <w:pStyle w:val="ListParagraph"/>
        <w:numPr>
          <w:ilvl w:val="0"/>
          <w:numId w:val="2"/>
        </w:numPr>
      </w:pPr>
      <w:r>
        <w:t xml:space="preserve">Escalate tax, super, debt restructuring, insurance and investment allocation decisions to adviser review</w:t>
      </w:r>
    </w:p>
    <w:p>
      <w:pPr>
        <w:pStyle w:val="ListParagraph"/>
        <w:numPr>
          <w:ilvl w:val="0"/>
          <w:numId w:val="2"/>
        </w:numPr>
      </w:pPr>
      <w:r>
        <w:t xml:space="preserve">Do not store or expose personal financial data — keep facts, assumptions and recommendations separate</w:t>
      </w:r>
    </w:p>
    <w:p/>
    <w:p>
      <w:r>
        <w:rPr>
          <w:i/>
          <w:iCs/>
          <w:color w:val="888888"/>
        </w:rPr>
        <w:t xml:space="preserve">Version note: Rules based on the Australian financial modelling workbook. Thresholds are configurable product settings, not hard-coded financial advice. Financial year references: 2025-26.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40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D6B5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2026-05-21T11:44:23.994Z</dcterms:created>
  <dcterms:modified xsi:type="dcterms:W3CDTF">2026-05-21T11:44:23.994Z</dcterms:modified>
</cp:coreProperties>
</file>

<file path=docProps/custom.xml><?xml version="1.0" encoding="utf-8"?>
<Properties xmlns="http://schemas.openxmlformats.org/officeDocument/2006/custom-properties" xmlns:vt="http://schemas.openxmlformats.org/officeDocument/2006/docPropsVTypes"/>
</file>