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C1B4F" w14:textId="77777777" w:rsidR="00412D6C" w:rsidRDefault="00420189">
      <w:pPr>
        <w:spacing w:after="159" w:line="259" w:lineRule="auto"/>
        <w:ind w:right="8"/>
        <w:jc w:val="center"/>
      </w:pPr>
      <w:r>
        <w:rPr>
          <w:b/>
          <w:sz w:val="28"/>
        </w:rPr>
        <w:t>BLAW 2000 LAW FOR ENGINEERS BENTLEY</w:t>
      </w:r>
      <w:r w:rsidR="009F3484">
        <w:rPr>
          <w:b/>
          <w:sz w:val="28"/>
        </w:rPr>
        <w:t xml:space="preserve">, </w:t>
      </w:r>
      <w:r>
        <w:rPr>
          <w:b/>
          <w:sz w:val="28"/>
        </w:rPr>
        <w:t xml:space="preserve">MIRI </w:t>
      </w:r>
      <w:r w:rsidR="009F3484">
        <w:rPr>
          <w:b/>
          <w:sz w:val="28"/>
        </w:rPr>
        <w:t>&amp; SLIIT</w:t>
      </w:r>
    </w:p>
    <w:p w14:paraId="30D07FC4" w14:textId="77777777" w:rsidR="00412D6C" w:rsidRDefault="00E84E87">
      <w:pPr>
        <w:spacing w:after="159" w:line="259" w:lineRule="auto"/>
        <w:ind w:right="5"/>
        <w:jc w:val="center"/>
      </w:pPr>
      <w:r>
        <w:rPr>
          <w:b/>
          <w:sz w:val="28"/>
        </w:rPr>
        <w:t>SEMESTER 2</w:t>
      </w:r>
      <w:r w:rsidR="00420189">
        <w:rPr>
          <w:b/>
          <w:sz w:val="28"/>
        </w:rPr>
        <w:t xml:space="preserve">, 2020 </w:t>
      </w:r>
    </w:p>
    <w:p w14:paraId="49C2426B" w14:textId="77777777" w:rsidR="00412D6C" w:rsidRDefault="00420189">
      <w:pPr>
        <w:spacing w:after="109" w:line="259" w:lineRule="auto"/>
        <w:ind w:right="6"/>
        <w:jc w:val="center"/>
      </w:pPr>
      <w:r>
        <w:rPr>
          <w:b/>
          <w:sz w:val="28"/>
        </w:rPr>
        <w:t xml:space="preserve">MAJOR ASSIGNMENT </w:t>
      </w:r>
    </w:p>
    <w:p w14:paraId="3C7ACFE6" w14:textId="77777777" w:rsidR="00412D6C" w:rsidRDefault="00E84E87">
      <w:pPr>
        <w:spacing w:after="0" w:line="409" w:lineRule="auto"/>
        <w:ind w:left="1625" w:right="1580" w:firstLine="0"/>
        <w:jc w:val="center"/>
      </w:pPr>
      <w:r>
        <w:rPr>
          <w:b/>
        </w:rPr>
        <w:t>Due: 5</w:t>
      </w:r>
      <w:r w:rsidR="00420189">
        <w:rPr>
          <w:b/>
          <w:vertAlign w:val="superscript"/>
        </w:rPr>
        <w:t>th</w:t>
      </w:r>
      <w:r>
        <w:rPr>
          <w:b/>
        </w:rPr>
        <w:t xml:space="preserve"> October</w:t>
      </w:r>
      <w:r w:rsidR="00420189">
        <w:rPr>
          <w:b/>
        </w:rPr>
        <w:t xml:space="preserve"> @1pm by upload to Turnitin 3000 words limit. 50 Marks </w:t>
      </w:r>
    </w:p>
    <w:p w14:paraId="4E8679E7" w14:textId="77777777" w:rsidR="00412D6C" w:rsidRDefault="00420189">
      <w:pPr>
        <w:spacing w:after="158" w:line="259" w:lineRule="auto"/>
        <w:ind w:left="0" w:right="0" w:firstLine="0"/>
        <w:jc w:val="left"/>
      </w:pPr>
      <w:r>
        <w:t xml:space="preserve"> </w:t>
      </w:r>
    </w:p>
    <w:p w14:paraId="17FF7A79" w14:textId="77777777" w:rsidR="00412D6C" w:rsidRDefault="00420189">
      <w:pPr>
        <w:ind w:left="-5" w:right="0"/>
      </w:pPr>
      <w:r>
        <w:t xml:space="preserve">See instructions below under ‘Your Tasks’. You will complete an individual assignment on the scenario below. It requires you to explain and demonstrate the appropriate principles (and key cases) relevant to material covered in Topic 6 (negligence). </w:t>
      </w:r>
    </w:p>
    <w:p w14:paraId="3F0A287B" w14:textId="77777777" w:rsidR="00412D6C" w:rsidRDefault="00420189">
      <w:pPr>
        <w:spacing w:after="161" w:line="259" w:lineRule="auto"/>
        <w:ind w:left="0" w:right="0" w:firstLine="0"/>
        <w:jc w:val="left"/>
      </w:pPr>
      <w:r>
        <w:t xml:space="preserve"> </w:t>
      </w:r>
      <w:r w:rsidR="00137CF0">
        <w:tab/>
      </w:r>
      <w:r w:rsidR="00137CF0">
        <w:tab/>
      </w:r>
      <w:r w:rsidR="00137CF0">
        <w:tab/>
      </w:r>
      <w:r w:rsidR="00137CF0">
        <w:tab/>
      </w:r>
      <w:r w:rsidR="00137CF0">
        <w:rPr>
          <w:noProof/>
        </w:rPr>
        <w:drawing>
          <wp:inline distT="0" distB="0" distL="0" distR="0" wp14:anchorId="2BA5F37A" wp14:editId="187A58FA">
            <wp:extent cx="210502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g"/>
                    <pic:cNvPicPr/>
                  </pic:nvPicPr>
                  <pic:blipFill>
                    <a:blip r:embed="rId5">
                      <a:extLst>
                        <a:ext uri="{28A0092B-C50C-407E-A947-70E740481C1C}">
                          <a14:useLocalDpi xmlns:a14="http://schemas.microsoft.com/office/drawing/2010/main" val="0"/>
                        </a:ext>
                      </a:extLst>
                    </a:blip>
                    <a:stretch>
                      <a:fillRect/>
                    </a:stretch>
                  </pic:blipFill>
                  <pic:spPr>
                    <a:xfrm>
                      <a:off x="0" y="0"/>
                      <a:ext cx="2105025" cy="1847850"/>
                    </a:xfrm>
                    <a:prstGeom prst="rect">
                      <a:avLst/>
                    </a:prstGeom>
                  </pic:spPr>
                </pic:pic>
              </a:graphicData>
            </a:graphic>
          </wp:inline>
        </w:drawing>
      </w:r>
    </w:p>
    <w:p w14:paraId="03BFDD31" w14:textId="77777777" w:rsidR="00137CF0" w:rsidRPr="00137CF0" w:rsidRDefault="00137CF0">
      <w:pPr>
        <w:spacing w:after="161" w:line="259" w:lineRule="auto"/>
        <w:ind w:left="0" w:right="0" w:firstLine="0"/>
        <w:jc w:val="left"/>
        <w:rPr>
          <w:sz w:val="16"/>
          <w:szCs w:val="16"/>
        </w:rPr>
      </w:pPr>
      <w:r>
        <w:tab/>
      </w:r>
      <w:r>
        <w:tab/>
      </w:r>
      <w:r>
        <w:tab/>
      </w:r>
      <w:r>
        <w:tab/>
      </w:r>
      <w:r>
        <w:rPr>
          <w:sz w:val="16"/>
          <w:szCs w:val="16"/>
        </w:rPr>
        <w:t>Image: Bigstockphot.com</w:t>
      </w:r>
    </w:p>
    <w:p w14:paraId="7295407E" w14:textId="77777777" w:rsidR="00280C0F" w:rsidRPr="00280C0F" w:rsidRDefault="00280C0F" w:rsidP="00280C0F">
      <w:pPr>
        <w:pStyle w:val="BodyText"/>
        <w:kinsoku w:val="0"/>
        <w:overflowPunct w:val="0"/>
        <w:ind w:left="118" w:right="117" w:firstLine="1"/>
        <w:rPr>
          <w:rFonts w:asciiTheme="minorHAnsi" w:hAnsiTheme="minorHAnsi" w:cstheme="minorHAnsi"/>
          <w:sz w:val="22"/>
          <w:szCs w:val="22"/>
        </w:rPr>
      </w:pPr>
      <w:r>
        <w:rPr>
          <w:rFonts w:asciiTheme="minorHAnsi" w:hAnsiTheme="minorHAnsi" w:cstheme="minorHAnsi"/>
          <w:sz w:val="22"/>
          <w:szCs w:val="22"/>
        </w:rPr>
        <w:t>Solomon</w:t>
      </w:r>
      <w:r w:rsidRPr="00280C0F">
        <w:rPr>
          <w:rFonts w:asciiTheme="minorHAnsi" w:hAnsiTheme="minorHAnsi" w:cstheme="minorHAnsi"/>
          <w:sz w:val="22"/>
          <w:szCs w:val="22"/>
        </w:rPr>
        <w:t xml:space="preserve"> </w:t>
      </w:r>
      <w:r>
        <w:rPr>
          <w:rFonts w:asciiTheme="minorHAnsi" w:hAnsiTheme="minorHAnsi" w:cstheme="minorHAnsi"/>
          <w:sz w:val="22"/>
          <w:szCs w:val="22"/>
        </w:rPr>
        <w:t>Fielder</w:t>
      </w:r>
      <w:r w:rsidRPr="00280C0F">
        <w:rPr>
          <w:rFonts w:asciiTheme="minorHAnsi" w:hAnsiTheme="minorHAnsi" w:cstheme="minorHAnsi"/>
          <w:sz w:val="22"/>
          <w:szCs w:val="22"/>
        </w:rPr>
        <w:t xml:space="preserve"> Pty Ltd (</w:t>
      </w:r>
      <w:r>
        <w:rPr>
          <w:rFonts w:asciiTheme="minorHAnsi" w:hAnsiTheme="minorHAnsi" w:cstheme="minorHAnsi"/>
          <w:sz w:val="22"/>
          <w:szCs w:val="22"/>
        </w:rPr>
        <w:t>Fielder</w:t>
      </w:r>
      <w:r w:rsidRPr="00280C0F">
        <w:rPr>
          <w:rFonts w:asciiTheme="minorHAnsi" w:hAnsiTheme="minorHAnsi" w:cstheme="minorHAnsi"/>
          <w:sz w:val="22"/>
          <w:szCs w:val="22"/>
        </w:rPr>
        <w:t>) operates a</w:t>
      </w:r>
      <w:r>
        <w:rPr>
          <w:rFonts w:asciiTheme="minorHAnsi" w:hAnsiTheme="minorHAnsi" w:cstheme="minorHAnsi"/>
          <w:sz w:val="22"/>
          <w:szCs w:val="22"/>
        </w:rPr>
        <w:t xml:space="preserve"> motor vehicle panel beating and spray painting </w:t>
      </w:r>
      <w:r w:rsidRPr="00280C0F">
        <w:rPr>
          <w:rFonts w:asciiTheme="minorHAnsi" w:hAnsiTheme="minorHAnsi" w:cstheme="minorHAnsi"/>
          <w:sz w:val="22"/>
          <w:szCs w:val="22"/>
        </w:rPr>
        <w:t xml:space="preserve">centre in the </w:t>
      </w:r>
      <w:r>
        <w:rPr>
          <w:rFonts w:asciiTheme="minorHAnsi" w:hAnsiTheme="minorHAnsi" w:cstheme="minorHAnsi"/>
          <w:sz w:val="22"/>
          <w:szCs w:val="22"/>
        </w:rPr>
        <w:t xml:space="preserve">western </w:t>
      </w:r>
      <w:r w:rsidRPr="00280C0F">
        <w:rPr>
          <w:rFonts w:asciiTheme="minorHAnsi" w:hAnsiTheme="minorHAnsi" w:cstheme="minorHAnsi"/>
          <w:sz w:val="22"/>
          <w:szCs w:val="22"/>
        </w:rPr>
        <w:t xml:space="preserve">suburbs of Perth. </w:t>
      </w:r>
      <w:r>
        <w:rPr>
          <w:rFonts w:asciiTheme="minorHAnsi" w:hAnsiTheme="minorHAnsi" w:cstheme="minorHAnsi"/>
          <w:sz w:val="22"/>
          <w:szCs w:val="22"/>
        </w:rPr>
        <w:t>Fielder</w:t>
      </w:r>
      <w:r w:rsidRPr="00280C0F">
        <w:rPr>
          <w:rFonts w:asciiTheme="minorHAnsi" w:hAnsiTheme="minorHAnsi" w:cstheme="minorHAnsi"/>
          <w:sz w:val="22"/>
          <w:szCs w:val="22"/>
        </w:rPr>
        <w:t xml:space="preserve"> regularly </w:t>
      </w:r>
      <w:r w:rsidR="00150B77">
        <w:rPr>
          <w:rFonts w:asciiTheme="minorHAnsi" w:hAnsiTheme="minorHAnsi" w:cstheme="minorHAnsi"/>
          <w:sz w:val="22"/>
          <w:szCs w:val="22"/>
        </w:rPr>
        <w:t xml:space="preserve">carries out </w:t>
      </w:r>
      <w:r w:rsidRPr="00280C0F">
        <w:rPr>
          <w:rFonts w:asciiTheme="minorHAnsi" w:hAnsiTheme="minorHAnsi" w:cstheme="minorHAnsi"/>
          <w:sz w:val="22"/>
          <w:szCs w:val="22"/>
        </w:rPr>
        <w:t xml:space="preserve">appropriate </w:t>
      </w:r>
      <w:r>
        <w:rPr>
          <w:rFonts w:asciiTheme="minorHAnsi" w:hAnsiTheme="minorHAnsi" w:cstheme="minorHAnsi"/>
          <w:sz w:val="22"/>
          <w:szCs w:val="22"/>
        </w:rPr>
        <w:t>repair and main</w:t>
      </w:r>
      <w:r w:rsidRPr="00280C0F">
        <w:rPr>
          <w:rFonts w:asciiTheme="minorHAnsi" w:hAnsiTheme="minorHAnsi" w:cstheme="minorHAnsi"/>
          <w:sz w:val="22"/>
          <w:szCs w:val="22"/>
        </w:rPr>
        <w:t xml:space="preserve">tenance work to the </w:t>
      </w:r>
      <w:r w:rsidR="00BE026F">
        <w:rPr>
          <w:rFonts w:asciiTheme="minorHAnsi" w:hAnsiTheme="minorHAnsi" w:cstheme="minorHAnsi"/>
          <w:sz w:val="22"/>
          <w:szCs w:val="22"/>
        </w:rPr>
        <w:t xml:space="preserve">plant and </w:t>
      </w:r>
      <w:r w:rsidRPr="00280C0F">
        <w:rPr>
          <w:rFonts w:asciiTheme="minorHAnsi" w:hAnsiTheme="minorHAnsi" w:cstheme="minorHAnsi"/>
          <w:sz w:val="22"/>
          <w:szCs w:val="22"/>
        </w:rPr>
        <w:t xml:space="preserve">machinery in the workshop as he is very safety conscious and does not wish to expose his employees or customers to unnecessary risk. </w:t>
      </w:r>
    </w:p>
    <w:p w14:paraId="62D81B9B" w14:textId="77777777" w:rsidR="00280C0F" w:rsidRPr="00280C0F" w:rsidRDefault="00280C0F" w:rsidP="00280C0F">
      <w:pPr>
        <w:pStyle w:val="BodyText"/>
        <w:kinsoku w:val="0"/>
        <w:overflowPunct w:val="0"/>
        <w:spacing w:before="1"/>
        <w:rPr>
          <w:rFonts w:asciiTheme="minorHAnsi" w:hAnsiTheme="minorHAnsi" w:cstheme="minorHAnsi"/>
          <w:sz w:val="22"/>
          <w:szCs w:val="22"/>
        </w:rPr>
      </w:pPr>
    </w:p>
    <w:p w14:paraId="17A7F0A3" w14:textId="77777777" w:rsidR="00280C0F" w:rsidRPr="00280C0F" w:rsidRDefault="00150B77" w:rsidP="00280C0F">
      <w:pPr>
        <w:pStyle w:val="BodyText"/>
        <w:kinsoku w:val="0"/>
        <w:overflowPunct w:val="0"/>
        <w:ind w:left="118" w:right="229"/>
        <w:rPr>
          <w:rFonts w:asciiTheme="minorHAnsi" w:hAnsiTheme="minorHAnsi" w:cstheme="minorHAnsi"/>
          <w:sz w:val="22"/>
          <w:szCs w:val="22"/>
        </w:rPr>
      </w:pPr>
      <w:r>
        <w:rPr>
          <w:rFonts w:asciiTheme="minorHAnsi" w:hAnsiTheme="minorHAnsi" w:cstheme="minorHAnsi"/>
          <w:sz w:val="22"/>
          <w:szCs w:val="22"/>
        </w:rPr>
        <w:t xml:space="preserve">One day, </w:t>
      </w:r>
      <w:r w:rsidR="00280C0F">
        <w:rPr>
          <w:rFonts w:asciiTheme="minorHAnsi" w:hAnsiTheme="minorHAnsi" w:cstheme="minorHAnsi"/>
          <w:sz w:val="22"/>
          <w:szCs w:val="22"/>
        </w:rPr>
        <w:t>Fielder</w:t>
      </w:r>
      <w:r w:rsidR="00280C0F" w:rsidRPr="00280C0F">
        <w:rPr>
          <w:rFonts w:asciiTheme="minorHAnsi" w:hAnsiTheme="minorHAnsi" w:cstheme="minorHAnsi"/>
          <w:sz w:val="22"/>
          <w:szCs w:val="22"/>
        </w:rPr>
        <w:t xml:space="preserve"> engaged </w:t>
      </w:r>
      <w:r w:rsidR="00280C0F">
        <w:rPr>
          <w:rFonts w:asciiTheme="minorHAnsi" w:hAnsiTheme="minorHAnsi" w:cstheme="minorHAnsi"/>
          <w:sz w:val="22"/>
          <w:szCs w:val="22"/>
        </w:rPr>
        <w:t>Victor</w:t>
      </w:r>
      <w:r w:rsidR="00ED2DBD">
        <w:rPr>
          <w:rFonts w:asciiTheme="minorHAnsi" w:hAnsiTheme="minorHAnsi" w:cstheme="minorHAnsi"/>
          <w:sz w:val="22"/>
          <w:szCs w:val="22"/>
        </w:rPr>
        <w:t xml:space="preserve"> &amp; Co (Victor) </w:t>
      </w:r>
      <w:r>
        <w:rPr>
          <w:rFonts w:asciiTheme="minorHAnsi" w:hAnsiTheme="minorHAnsi" w:cstheme="minorHAnsi"/>
          <w:sz w:val="22"/>
          <w:szCs w:val="22"/>
        </w:rPr>
        <w:t xml:space="preserve">who specialise in safety inspections and training in the motor vehicle industry </w:t>
      </w:r>
      <w:r w:rsidR="00ED2DBD">
        <w:rPr>
          <w:rFonts w:asciiTheme="minorHAnsi" w:hAnsiTheme="minorHAnsi" w:cstheme="minorHAnsi"/>
          <w:sz w:val="22"/>
          <w:szCs w:val="22"/>
        </w:rPr>
        <w:t>to</w:t>
      </w:r>
      <w:r>
        <w:rPr>
          <w:rFonts w:asciiTheme="minorHAnsi" w:hAnsiTheme="minorHAnsi" w:cstheme="minorHAnsi"/>
          <w:sz w:val="22"/>
          <w:szCs w:val="22"/>
        </w:rPr>
        <w:t xml:space="preserve"> perform a safety inspection</w:t>
      </w:r>
      <w:r w:rsidR="00280C0F" w:rsidRPr="00280C0F">
        <w:rPr>
          <w:rFonts w:asciiTheme="minorHAnsi" w:hAnsiTheme="minorHAnsi" w:cstheme="minorHAnsi"/>
          <w:sz w:val="22"/>
          <w:szCs w:val="22"/>
        </w:rPr>
        <w:t xml:space="preserve"> on </w:t>
      </w:r>
      <w:r w:rsidR="00E429D1">
        <w:rPr>
          <w:rFonts w:asciiTheme="minorHAnsi" w:hAnsiTheme="minorHAnsi" w:cstheme="minorHAnsi"/>
          <w:sz w:val="22"/>
          <w:szCs w:val="22"/>
        </w:rPr>
        <w:t xml:space="preserve">one of the four </w:t>
      </w:r>
      <w:r w:rsidR="00280C0F" w:rsidRPr="00280C0F">
        <w:rPr>
          <w:rFonts w:asciiTheme="minorHAnsi" w:hAnsiTheme="minorHAnsi" w:cstheme="minorHAnsi"/>
          <w:sz w:val="22"/>
          <w:szCs w:val="22"/>
        </w:rPr>
        <w:t xml:space="preserve">specially imported </w:t>
      </w:r>
      <w:r w:rsidR="00280C0F">
        <w:rPr>
          <w:rFonts w:asciiTheme="minorHAnsi" w:hAnsiTheme="minorHAnsi" w:cstheme="minorHAnsi"/>
          <w:sz w:val="22"/>
          <w:szCs w:val="22"/>
        </w:rPr>
        <w:t>spray booths</w:t>
      </w:r>
      <w:r w:rsidR="00280C0F" w:rsidRPr="00280C0F">
        <w:rPr>
          <w:rFonts w:asciiTheme="minorHAnsi" w:hAnsiTheme="minorHAnsi" w:cstheme="minorHAnsi"/>
          <w:sz w:val="22"/>
          <w:szCs w:val="22"/>
        </w:rPr>
        <w:t xml:space="preserve"> that </w:t>
      </w:r>
      <w:r w:rsidR="00280C0F">
        <w:rPr>
          <w:rFonts w:asciiTheme="minorHAnsi" w:hAnsiTheme="minorHAnsi" w:cstheme="minorHAnsi"/>
          <w:sz w:val="22"/>
          <w:szCs w:val="22"/>
        </w:rPr>
        <w:t>Fielder</w:t>
      </w:r>
      <w:r w:rsidR="00280C0F" w:rsidRPr="00280C0F">
        <w:rPr>
          <w:rFonts w:asciiTheme="minorHAnsi" w:hAnsiTheme="minorHAnsi" w:cstheme="minorHAnsi"/>
          <w:sz w:val="22"/>
          <w:szCs w:val="22"/>
        </w:rPr>
        <w:t xml:space="preserve"> </w:t>
      </w:r>
      <w:r w:rsidR="00E429D1">
        <w:rPr>
          <w:rFonts w:asciiTheme="minorHAnsi" w:hAnsiTheme="minorHAnsi" w:cstheme="minorHAnsi"/>
          <w:sz w:val="22"/>
          <w:szCs w:val="22"/>
        </w:rPr>
        <w:t>has on site</w:t>
      </w:r>
      <w:r w:rsidR="00280C0F" w:rsidRPr="00280C0F">
        <w:rPr>
          <w:rFonts w:asciiTheme="minorHAnsi" w:hAnsiTheme="minorHAnsi" w:cstheme="minorHAnsi"/>
          <w:sz w:val="22"/>
          <w:szCs w:val="22"/>
        </w:rPr>
        <w:t xml:space="preserve">. The </w:t>
      </w:r>
      <w:r w:rsidR="00280C0F">
        <w:rPr>
          <w:rFonts w:asciiTheme="minorHAnsi" w:hAnsiTheme="minorHAnsi" w:cstheme="minorHAnsi"/>
          <w:sz w:val="22"/>
          <w:szCs w:val="22"/>
        </w:rPr>
        <w:t>booths</w:t>
      </w:r>
      <w:r w:rsidR="00280C0F" w:rsidRPr="00280C0F">
        <w:rPr>
          <w:rFonts w:asciiTheme="minorHAnsi" w:hAnsiTheme="minorHAnsi" w:cstheme="minorHAnsi"/>
          <w:sz w:val="22"/>
          <w:szCs w:val="22"/>
        </w:rPr>
        <w:t xml:space="preserve"> differ from more common </w:t>
      </w:r>
      <w:r w:rsidR="00280C0F">
        <w:rPr>
          <w:rFonts w:asciiTheme="minorHAnsi" w:hAnsiTheme="minorHAnsi" w:cstheme="minorHAnsi"/>
          <w:sz w:val="22"/>
          <w:szCs w:val="22"/>
        </w:rPr>
        <w:t>booths</w:t>
      </w:r>
      <w:r w:rsidR="00280C0F" w:rsidRPr="00280C0F">
        <w:rPr>
          <w:rFonts w:asciiTheme="minorHAnsi" w:hAnsiTheme="minorHAnsi" w:cstheme="minorHAnsi"/>
          <w:sz w:val="22"/>
          <w:szCs w:val="22"/>
        </w:rPr>
        <w:t xml:space="preserve"> as they have the capacity to </w:t>
      </w:r>
      <w:r w:rsidR="00280C0F">
        <w:rPr>
          <w:rFonts w:asciiTheme="minorHAnsi" w:hAnsiTheme="minorHAnsi" w:cstheme="minorHAnsi"/>
          <w:sz w:val="22"/>
          <w:szCs w:val="22"/>
        </w:rPr>
        <w:t>allow multiple car bodies and panels to be painted at the same time with different colours without overspray or contamination</w:t>
      </w:r>
      <w:r w:rsidR="00E429D1">
        <w:rPr>
          <w:rFonts w:asciiTheme="minorHAnsi" w:hAnsiTheme="minorHAnsi" w:cstheme="minorHAnsi"/>
          <w:sz w:val="22"/>
          <w:szCs w:val="22"/>
        </w:rPr>
        <w:t xml:space="preserve"> due to a sophisticated, modular partition system</w:t>
      </w:r>
      <w:r w:rsidR="00BE026F">
        <w:rPr>
          <w:rFonts w:asciiTheme="minorHAnsi" w:hAnsiTheme="minorHAnsi" w:cstheme="minorHAnsi"/>
          <w:sz w:val="22"/>
          <w:szCs w:val="22"/>
        </w:rPr>
        <w:t xml:space="preserve"> that is very quick to set up and disassemble</w:t>
      </w:r>
      <w:r w:rsidR="00280C0F">
        <w:rPr>
          <w:rFonts w:asciiTheme="minorHAnsi" w:hAnsiTheme="minorHAnsi" w:cstheme="minorHAnsi"/>
          <w:sz w:val="22"/>
          <w:szCs w:val="22"/>
        </w:rPr>
        <w:t>. This feature</w:t>
      </w:r>
      <w:r w:rsidR="00280C0F" w:rsidRPr="00280C0F">
        <w:rPr>
          <w:rFonts w:asciiTheme="minorHAnsi" w:hAnsiTheme="minorHAnsi" w:cstheme="minorHAnsi"/>
          <w:sz w:val="22"/>
          <w:szCs w:val="22"/>
        </w:rPr>
        <w:t xml:space="preserve"> is very useful for </w:t>
      </w:r>
      <w:r w:rsidR="00280C0F">
        <w:rPr>
          <w:rFonts w:asciiTheme="minorHAnsi" w:hAnsiTheme="minorHAnsi" w:cstheme="minorHAnsi"/>
          <w:sz w:val="22"/>
          <w:szCs w:val="22"/>
        </w:rPr>
        <w:t>Fielder</w:t>
      </w:r>
      <w:r w:rsidR="00280C0F" w:rsidRPr="00280C0F">
        <w:rPr>
          <w:rFonts w:asciiTheme="minorHAnsi" w:hAnsiTheme="minorHAnsi" w:cstheme="minorHAnsi"/>
          <w:sz w:val="22"/>
          <w:szCs w:val="22"/>
        </w:rPr>
        <w:t xml:space="preserve"> who regularly </w:t>
      </w:r>
      <w:r w:rsidR="00280C0F">
        <w:rPr>
          <w:rFonts w:asciiTheme="minorHAnsi" w:hAnsiTheme="minorHAnsi" w:cstheme="minorHAnsi"/>
          <w:sz w:val="22"/>
          <w:szCs w:val="22"/>
        </w:rPr>
        <w:t xml:space="preserve">paint </w:t>
      </w:r>
      <w:r w:rsidR="00280C0F" w:rsidRPr="00280C0F">
        <w:rPr>
          <w:rFonts w:asciiTheme="minorHAnsi" w:hAnsiTheme="minorHAnsi" w:cstheme="minorHAnsi"/>
          <w:sz w:val="22"/>
          <w:szCs w:val="22"/>
        </w:rPr>
        <w:t>expensive and complicated sports cars</w:t>
      </w:r>
      <w:r w:rsidR="00E429D1">
        <w:rPr>
          <w:rFonts w:asciiTheme="minorHAnsi" w:hAnsiTheme="minorHAnsi" w:cstheme="minorHAnsi"/>
          <w:sz w:val="22"/>
          <w:szCs w:val="22"/>
        </w:rPr>
        <w:t xml:space="preserve"> for very fussy owners</w:t>
      </w:r>
      <w:r w:rsidR="00BE026F">
        <w:rPr>
          <w:rFonts w:asciiTheme="minorHAnsi" w:hAnsiTheme="minorHAnsi" w:cstheme="minorHAnsi"/>
          <w:sz w:val="22"/>
          <w:szCs w:val="22"/>
        </w:rPr>
        <w:t xml:space="preserve"> </w:t>
      </w:r>
      <w:r>
        <w:rPr>
          <w:rFonts w:asciiTheme="minorHAnsi" w:hAnsiTheme="minorHAnsi" w:cstheme="minorHAnsi"/>
          <w:sz w:val="22"/>
          <w:szCs w:val="22"/>
        </w:rPr>
        <w:t>who</w:t>
      </w:r>
      <w:r w:rsidR="00641554">
        <w:rPr>
          <w:rFonts w:asciiTheme="minorHAnsi" w:hAnsiTheme="minorHAnsi" w:cstheme="minorHAnsi"/>
          <w:sz w:val="22"/>
          <w:szCs w:val="22"/>
        </w:rPr>
        <w:t xml:space="preserve"> expect fast results</w:t>
      </w:r>
      <w:r w:rsidR="00280C0F" w:rsidRPr="00280C0F">
        <w:rPr>
          <w:rFonts w:asciiTheme="minorHAnsi" w:hAnsiTheme="minorHAnsi" w:cstheme="minorHAnsi"/>
          <w:sz w:val="22"/>
          <w:szCs w:val="22"/>
        </w:rPr>
        <w:t xml:space="preserve">. </w:t>
      </w:r>
      <w:r w:rsidR="00280C0F">
        <w:rPr>
          <w:rFonts w:asciiTheme="minorHAnsi" w:hAnsiTheme="minorHAnsi" w:cstheme="minorHAnsi"/>
          <w:sz w:val="22"/>
          <w:szCs w:val="22"/>
        </w:rPr>
        <w:t>Shane</w:t>
      </w:r>
      <w:r w:rsidR="00280C0F" w:rsidRPr="00280C0F">
        <w:rPr>
          <w:rFonts w:asciiTheme="minorHAnsi" w:hAnsiTheme="minorHAnsi" w:cstheme="minorHAnsi"/>
          <w:sz w:val="22"/>
          <w:szCs w:val="22"/>
        </w:rPr>
        <w:t xml:space="preserve"> </w:t>
      </w:r>
      <w:r w:rsidR="00280C0F">
        <w:rPr>
          <w:rFonts w:asciiTheme="minorHAnsi" w:hAnsiTheme="minorHAnsi" w:cstheme="minorHAnsi"/>
          <w:sz w:val="22"/>
          <w:szCs w:val="22"/>
        </w:rPr>
        <w:t>King</w:t>
      </w:r>
      <w:r w:rsidR="00280C0F" w:rsidRPr="00280C0F">
        <w:rPr>
          <w:rFonts w:asciiTheme="minorHAnsi" w:hAnsiTheme="minorHAnsi" w:cstheme="minorHAnsi"/>
          <w:sz w:val="22"/>
          <w:szCs w:val="22"/>
        </w:rPr>
        <w:t xml:space="preserve"> is sent by </w:t>
      </w:r>
      <w:r w:rsidR="00280C0F">
        <w:rPr>
          <w:rFonts w:asciiTheme="minorHAnsi" w:hAnsiTheme="minorHAnsi" w:cstheme="minorHAnsi"/>
          <w:sz w:val="22"/>
          <w:szCs w:val="22"/>
        </w:rPr>
        <w:t>Victor</w:t>
      </w:r>
      <w:r w:rsidR="00280C0F" w:rsidRPr="00280C0F">
        <w:rPr>
          <w:rFonts w:asciiTheme="minorHAnsi" w:hAnsiTheme="minorHAnsi" w:cstheme="minorHAnsi"/>
          <w:sz w:val="22"/>
          <w:szCs w:val="22"/>
        </w:rPr>
        <w:t xml:space="preserve"> to carry out </w:t>
      </w:r>
      <w:r>
        <w:rPr>
          <w:rFonts w:asciiTheme="minorHAnsi" w:hAnsiTheme="minorHAnsi" w:cstheme="minorHAnsi"/>
          <w:sz w:val="22"/>
          <w:szCs w:val="22"/>
        </w:rPr>
        <w:t>the safety inspection</w:t>
      </w:r>
      <w:r w:rsidR="00280C0F" w:rsidRPr="00280C0F">
        <w:rPr>
          <w:rFonts w:asciiTheme="minorHAnsi" w:hAnsiTheme="minorHAnsi" w:cstheme="minorHAnsi"/>
          <w:sz w:val="22"/>
          <w:szCs w:val="22"/>
        </w:rPr>
        <w:t xml:space="preserve"> on the </w:t>
      </w:r>
      <w:r w:rsidR="00280C0F">
        <w:rPr>
          <w:rFonts w:asciiTheme="minorHAnsi" w:hAnsiTheme="minorHAnsi" w:cstheme="minorHAnsi"/>
          <w:sz w:val="22"/>
          <w:szCs w:val="22"/>
        </w:rPr>
        <w:t>booth.</w:t>
      </w:r>
      <w:r w:rsidR="00280C0F" w:rsidRPr="00280C0F">
        <w:rPr>
          <w:rFonts w:asciiTheme="minorHAnsi" w:hAnsiTheme="minorHAnsi" w:cstheme="minorHAnsi"/>
          <w:sz w:val="22"/>
          <w:szCs w:val="22"/>
        </w:rPr>
        <w:t xml:space="preserve"> </w:t>
      </w:r>
      <w:r w:rsidR="00280C0F">
        <w:rPr>
          <w:rFonts w:asciiTheme="minorHAnsi" w:hAnsiTheme="minorHAnsi" w:cstheme="minorHAnsi"/>
          <w:sz w:val="22"/>
          <w:szCs w:val="22"/>
        </w:rPr>
        <w:t>Shane</w:t>
      </w:r>
      <w:r w:rsidR="00280C0F" w:rsidRPr="00280C0F">
        <w:rPr>
          <w:rFonts w:asciiTheme="minorHAnsi" w:hAnsiTheme="minorHAnsi" w:cstheme="minorHAnsi"/>
          <w:sz w:val="22"/>
          <w:szCs w:val="22"/>
        </w:rPr>
        <w:t xml:space="preserve"> was well familiar with th</w:t>
      </w:r>
      <w:r>
        <w:rPr>
          <w:rFonts w:asciiTheme="minorHAnsi" w:hAnsiTheme="minorHAnsi" w:cstheme="minorHAnsi"/>
          <w:sz w:val="22"/>
          <w:szCs w:val="22"/>
        </w:rPr>
        <w:t>at type of</w:t>
      </w:r>
      <w:r w:rsidR="00280C0F" w:rsidRPr="00280C0F">
        <w:rPr>
          <w:rFonts w:asciiTheme="minorHAnsi" w:hAnsiTheme="minorHAnsi" w:cstheme="minorHAnsi"/>
          <w:sz w:val="22"/>
          <w:szCs w:val="22"/>
        </w:rPr>
        <w:t xml:space="preserve"> </w:t>
      </w:r>
      <w:r w:rsidR="00280C0F">
        <w:rPr>
          <w:rFonts w:asciiTheme="minorHAnsi" w:hAnsiTheme="minorHAnsi" w:cstheme="minorHAnsi"/>
          <w:sz w:val="22"/>
          <w:szCs w:val="22"/>
        </w:rPr>
        <w:t>booth</w:t>
      </w:r>
      <w:r w:rsidR="00280C0F" w:rsidRPr="00280C0F">
        <w:rPr>
          <w:rFonts w:asciiTheme="minorHAnsi" w:hAnsiTheme="minorHAnsi" w:cstheme="minorHAnsi"/>
          <w:sz w:val="22"/>
          <w:szCs w:val="22"/>
        </w:rPr>
        <w:t xml:space="preserve"> as he had been working on them for a number of years at various locations in </w:t>
      </w:r>
      <w:r w:rsidR="00BE026F">
        <w:rPr>
          <w:rFonts w:asciiTheme="minorHAnsi" w:hAnsiTheme="minorHAnsi" w:cstheme="minorHAnsi"/>
          <w:sz w:val="22"/>
          <w:szCs w:val="22"/>
        </w:rPr>
        <w:t>Perth</w:t>
      </w:r>
      <w:r>
        <w:rPr>
          <w:rFonts w:asciiTheme="minorHAnsi" w:hAnsiTheme="minorHAnsi" w:cstheme="minorHAnsi"/>
          <w:sz w:val="22"/>
          <w:szCs w:val="22"/>
        </w:rPr>
        <w:t xml:space="preserve"> while employed by Victor</w:t>
      </w:r>
      <w:r w:rsidR="00BE026F">
        <w:rPr>
          <w:rFonts w:asciiTheme="minorHAnsi" w:hAnsiTheme="minorHAnsi" w:cstheme="minorHAnsi"/>
          <w:sz w:val="22"/>
          <w:szCs w:val="22"/>
        </w:rPr>
        <w:t>.</w:t>
      </w:r>
      <w:r w:rsidR="00ED2DBD">
        <w:rPr>
          <w:rFonts w:asciiTheme="minorHAnsi" w:hAnsiTheme="minorHAnsi" w:cstheme="minorHAnsi"/>
          <w:sz w:val="22"/>
          <w:szCs w:val="22"/>
        </w:rPr>
        <w:t xml:space="preserve"> </w:t>
      </w:r>
    </w:p>
    <w:p w14:paraId="20C76333" w14:textId="77777777" w:rsidR="00280C0F" w:rsidRPr="00280C0F" w:rsidRDefault="00280C0F" w:rsidP="00280C0F">
      <w:pPr>
        <w:pStyle w:val="BodyText"/>
        <w:kinsoku w:val="0"/>
        <w:overflowPunct w:val="0"/>
        <w:spacing w:before="10"/>
        <w:rPr>
          <w:rFonts w:asciiTheme="minorHAnsi" w:hAnsiTheme="minorHAnsi" w:cstheme="minorHAnsi"/>
          <w:sz w:val="22"/>
          <w:szCs w:val="22"/>
        </w:rPr>
      </w:pPr>
    </w:p>
    <w:p w14:paraId="1C356808" w14:textId="77777777" w:rsidR="00280C0F" w:rsidRPr="00280C0F" w:rsidRDefault="00BE026F" w:rsidP="00280C0F">
      <w:pPr>
        <w:pStyle w:val="BodyText"/>
        <w:kinsoku w:val="0"/>
        <w:overflowPunct w:val="0"/>
        <w:ind w:left="118" w:right="81"/>
        <w:rPr>
          <w:rFonts w:asciiTheme="minorHAnsi" w:hAnsiTheme="minorHAnsi" w:cstheme="minorHAnsi"/>
          <w:sz w:val="22"/>
          <w:szCs w:val="22"/>
        </w:rPr>
      </w:pPr>
      <w:r>
        <w:rPr>
          <w:rFonts w:asciiTheme="minorHAnsi" w:hAnsiTheme="minorHAnsi" w:cstheme="minorHAnsi"/>
          <w:sz w:val="22"/>
          <w:szCs w:val="22"/>
        </w:rPr>
        <w:t>Unfortunately for Shane, one of t</w:t>
      </w:r>
      <w:r w:rsidR="00E429D1">
        <w:rPr>
          <w:rFonts w:asciiTheme="minorHAnsi" w:hAnsiTheme="minorHAnsi" w:cstheme="minorHAnsi"/>
          <w:sz w:val="22"/>
          <w:szCs w:val="22"/>
        </w:rPr>
        <w:t>he</w:t>
      </w:r>
      <w:r w:rsidR="00150B77">
        <w:rPr>
          <w:rFonts w:asciiTheme="minorHAnsi" w:hAnsiTheme="minorHAnsi" w:cstheme="minorHAnsi"/>
          <w:sz w:val="22"/>
          <w:szCs w:val="22"/>
        </w:rPr>
        <w:t xml:space="preserve"> hydraulic</w:t>
      </w:r>
      <w:r w:rsidR="00E429D1">
        <w:rPr>
          <w:rFonts w:asciiTheme="minorHAnsi" w:hAnsiTheme="minorHAnsi" w:cstheme="minorHAnsi"/>
          <w:sz w:val="22"/>
          <w:szCs w:val="22"/>
        </w:rPr>
        <w:t xml:space="preserve"> lines burst </w:t>
      </w:r>
      <w:r w:rsidR="00280C0F" w:rsidRPr="00280C0F">
        <w:rPr>
          <w:rFonts w:asciiTheme="minorHAnsi" w:hAnsiTheme="minorHAnsi" w:cstheme="minorHAnsi"/>
          <w:sz w:val="22"/>
          <w:szCs w:val="22"/>
        </w:rPr>
        <w:t xml:space="preserve">while </w:t>
      </w:r>
      <w:r>
        <w:rPr>
          <w:rFonts w:asciiTheme="minorHAnsi" w:hAnsiTheme="minorHAnsi" w:cstheme="minorHAnsi"/>
          <w:sz w:val="22"/>
          <w:szCs w:val="22"/>
        </w:rPr>
        <w:t xml:space="preserve">he </w:t>
      </w:r>
      <w:r w:rsidR="00280C0F" w:rsidRPr="00280C0F">
        <w:rPr>
          <w:rFonts w:asciiTheme="minorHAnsi" w:hAnsiTheme="minorHAnsi" w:cstheme="minorHAnsi"/>
          <w:sz w:val="22"/>
          <w:szCs w:val="22"/>
        </w:rPr>
        <w:t xml:space="preserve">was </w:t>
      </w:r>
      <w:r>
        <w:rPr>
          <w:rFonts w:asciiTheme="minorHAnsi" w:hAnsiTheme="minorHAnsi" w:cstheme="minorHAnsi"/>
          <w:sz w:val="22"/>
          <w:szCs w:val="22"/>
        </w:rPr>
        <w:t xml:space="preserve">examining a fitting </w:t>
      </w:r>
      <w:r w:rsidR="00E429D1">
        <w:rPr>
          <w:rFonts w:asciiTheme="minorHAnsi" w:hAnsiTheme="minorHAnsi" w:cstheme="minorHAnsi"/>
          <w:sz w:val="22"/>
          <w:szCs w:val="22"/>
        </w:rPr>
        <w:t xml:space="preserve">which </w:t>
      </w:r>
      <w:r w:rsidR="00280C0F" w:rsidRPr="00280C0F">
        <w:rPr>
          <w:rFonts w:asciiTheme="minorHAnsi" w:hAnsiTheme="minorHAnsi" w:cstheme="minorHAnsi"/>
          <w:sz w:val="22"/>
          <w:szCs w:val="22"/>
        </w:rPr>
        <w:t>result</w:t>
      </w:r>
      <w:r w:rsidR="00E429D1">
        <w:rPr>
          <w:rFonts w:asciiTheme="minorHAnsi" w:hAnsiTheme="minorHAnsi" w:cstheme="minorHAnsi"/>
          <w:sz w:val="22"/>
          <w:szCs w:val="22"/>
        </w:rPr>
        <w:t>ed in</w:t>
      </w:r>
      <w:r w:rsidR="00280C0F" w:rsidRPr="00280C0F">
        <w:rPr>
          <w:rFonts w:asciiTheme="minorHAnsi" w:hAnsiTheme="minorHAnsi" w:cstheme="minorHAnsi"/>
          <w:sz w:val="22"/>
          <w:szCs w:val="22"/>
        </w:rPr>
        <w:t xml:space="preserve"> </w:t>
      </w:r>
      <w:r w:rsidR="00280C0F">
        <w:rPr>
          <w:rFonts w:asciiTheme="minorHAnsi" w:hAnsiTheme="minorHAnsi" w:cstheme="minorHAnsi"/>
          <w:sz w:val="22"/>
          <w:szCs w:val="22"/>
        </w:rPr>
        <w:t>Shane</w:t>
      </w:r>
      <w:r w:rsidR="00280C0F" w:rsidRPr="00280C0F">
        <w:rPr>
          <w:rFonts w:asciiTheme="minorHAnsi" w:hAnsiTheme="minorHAnsi" w:cstheme="minorHAnsi"/>
          <w:sz w:val="22"/>
          <w:szCs w:val="22"/>
        </w:rPr>
        <w:t xml:space="preserve"> </w:t>
      </w:r>
      <w:r w:rsidR="00E429D1">
        <w:rPr>
          <w:rFonts w:asciiTheme="minorHAnsi" w:hAnsiTheme="minorHAnsi" w:cstheme="minorHAnsi"/>
          <w:sz w:val="22"/>
          <w:szCs w:val="22"/>
        </w:rPr>
        <w:t>being</w:t>
      </w:r>
      <w:r w:rsidR="00280C0F" w:rsidRPr="00280C0F">
        <w:rPr>
          <w:rFonts w:asciiTheme="minorHAnsi" w:hAnsiTheme="minorHAnsi" w:cstheme="minorHAnsi"/>
          <w:sz w:val="22"/>
          <w:szCs w:val="22"/>
        </w:rPr>
        <w:t xml:space="preserve"> </w:t>
      </w:r>
      <w:r w:rsidR="00E429D1">
        <w:rPr>
          <w:rFonts w:asciiTheme="minorHAnsi" w:hAnsiTheme="minorHAnsi" w:cstheme="minorHAnsi"/>
          <w:sz w:val="22"/>
          <w:szCs w:val="22"/>
        </w:rPr>
        <w:t>sprayed with toxic hydraulic fluid</w:t>
      </w:r>
      <w:r w:rsidR="00280C0F" w:rsidRPr="00280C0F">
        <w:rPr>
          <w:rFonts w:asciiTheme="minorHAnsi" w:hAnsiTheme="minorHAnsi" w:cstheme="minorHAnsi"/>
          <w:sz w:val="22"/>
          <w:szCs w:val="22"/>
        </w:rPr>
        <w:t xml:space="preserve">. It was later discovered that </w:t>
      </w:r>
      <w:r w:rsidR="00280C0F">
        <w:rPr>
          <w:rFonts w:asciiTheme="minorHAnsi" w:hAnsiTheme="minorHAnsi" w:cstheme="minorHAnsi"/>
          <w:sz w:val="22"/>
          <w:szCs w:val="22"/>
        </w:rPr>
        <w:t>Fielder</w:t>
      </w:r>
      <w:r w:rsidR="00280C0F" w:rsidRPr="00280C0F">
        <w:rPr>
          <w:rFonts w:asciiTheme="minorHAnsi" w:hAnsiTheme="minorHAnsi" w:cstheme="minorHAnsi"/>
          <w:sz w:val="22"/>
          <w:szCs w:val="22"/>
        </w:rPr>
        <w:t xml:space="preserve"> had reconditioned rather than replaced some parts in the </w:t>
      </w:r>
      <w:r>
        <w:rPr>
          <w:rFonts w:asciiTheme="minorHAnsi" w:hAnsiTheme="minorHAnsi" w:cstheme="minorHAnsi"/>
          <w:sz w:val="22"/>
          <w:szCs w:val="22"/>
        </w:rPr>
        <w:t>hydraulic system</w:t>
      </w:r>
      <w:r w:rsidR="00E429D1">
        <w:rPr>
          <w:rFonts w:asciiTheme="minorHAnsi" w:hAnsiTheme="minorHAnsi" w:cstheme="minorHAnsi"/>
          <w:sz w:val="22"/>
          <w:szCs w:val="22"/>
        </w:rPr>
        <w:t xml:space="preserve"> </w:t>
      </w:r>
      <w:r w:rsidR="00280C0F" w:rsidRPr="00280C0F">
        <w:rPr>
          <w:rFonts w:asciiTheme="minorHAnsi" w:hAnsiTheme="minorHAnsi" w:cstheme="minorHAnsi"/>
          <w:sz w:val="22"/>
          <w:szCs w:val="22"/>
        </w:rPr>
        <w:t xml:space="preserve">which was contrary to the requirements recommended by the manufacturer. It also transpired that </w:t>
      </w:r>
      <w:r w:rsidR="00280C0F">
        <w:rPr>
          <w:rFonts w:asciiTheme="minorHAnsi" w:hAnsiTheme="minorHAnsi" w:cstheme="minorHAnsi"/>
          <w:sz w:val="22"/>
          <w:szCs w:val="22"/>
        </w:rPr>
        <w:t>Fielder</w:t>
      </w:r>
      <w:r w:rsidR="00280C0F" w:rsidRPr="00280C0F">
        <w:rPr>
          <w:rFonts w:asciiTheme="minorHAnsi" w:hAnsiTheme="minorHAnsi" w:cstheme="minorHAnsi"/>
          <w:sz w:val="22"/>
          <w:szCs w:val="22"/>
        </w:rPr>
        <w:t xml:space="preserve"> had used parts obtained in Ebay during a previous service although they were </w:t>
      </w:r>
      <w:r>
        <w:rPr>
          <w:rFonts w:asciiTheme="minorHAnsi" w:hAnsiTheme="minorHAnsi" w:cstheme="minorHAnsi"/>
          <w:sz w:val="22"/>
          <w:szCs w:val="22"/>
        </w:rPr>
        <w:t xml:space="preserve">of </w:t>
      </w:r>
      <w:r w:rsidR="00280C0F" w:rsidRPr="00280C0F">
        <w:rPr>
          <w:rFonts w:asciiTheme="minorHAnsi" w:hAnsiTheme="minorHAnsi" w:cstheme="minorHAnsi"/>
          <w:sz w:val="22"/>
          <w:szCs w:val="22"/>
        </w:rPr>
        <w:t xml:space="preserve">original </w:t>
      </w:r>
      <w:r>
        <w:rPr>
          <w:rFonts w:asciiTheme="minorHAnsi" w:hAnsiTheme="minorHAnsi" w:cstheme="minorHAnsi"/>
          <w:sz w:val="22"/>
          <w:szCs w:val="22"/>
        </w:rPr>
        <w:t>specification</w:t>
      </w:r>
      <w:r w:rsidR="00280C0F" w:rsidRPr="00280C0F">
        <w:rPr>
          <w:rFonts w:asciiTheme="minorHAnsi" w:hAnsiTheme="minorHAnsi" w:cstheme="minorHAnsi"/>
          <w:sz w:val="22"/>
          <w:szCs w:val="22"/>
        </w:rPr>
        <w:t xml:space="preserve"> and of good quality. </w:t>
      </w:r>
      <w:r w:rsidR="00280C0F">
        <w:rPr>
          <w:rFonts w:asciiTheme="minorHAnsi" w:hAnsiTheme="minorHAnsi" w:cstheme="minorHAnsi"/>
          <w:sz w:val="22"/>
          <w:szCs w:val="22"/>
        </w:rPr>
        <w:t>Fielder</w:t>
      </w:r>
      <w:r w:rsidR="00280C0F" w:rsidRPr="00280C0F">
        <w:rPr>
          <w:rFonts w:asciiTheme="minorHAnsi" w:hAnsiTheme="minorHAnsi" w:cstheme="minorHAnsi"/>
          <w:sz w:val="22"/>
          <w:szCs w:val="22"/>
        </w:rPr>
        <w:t xml:space="preserve"> had used these </w:t>
      </w:r>
      <w:r w:rsidR="00E429D1">
        <w:rPr>
          <w:rFonts w:asciiTheme="minorHAnsi" w:hAnsiTheme="minorHAnsi" w:cstheme="minorHAnsi"/>
          <w:sz w:val="22"/>
          <w:szCs w:val="22"/>
        </w:rPr>
        <w:t>parts</w:t>
      </w:r>
      <w:r w:rsidR="00280C0F" w:rsidRPr="00280C0F">
        <w:rPr>
          <w:rFonts w:asciiTheme="minorHAnsi" w:hAnsiTheme="minorHAnsi" w:cstheme="minorHAnsi"/>
          <w:sz w:val="22"/>
          <w:szCs w:val="22"/>
        </w:rPr>
        <w:t xml:space="preserve"> in the past and had not suffered any malfunctions or any unreliability with the </w:t>
      </w:r>
      <w:r w:rsidR="00E429D1">
        <w:rPr>
          <w:rFonts w:asciiTheme="minorHAnsi" w:hAnsiTheme="minorHAnsi" w:cstheme="minorHAnsi"/>
          <w:sz w:val="22"/>
          <w:szCs w:val="22"/>
        </w:rPr>
        <w:t xml:space="preserve">other </w:t>
      </w:r>
      <w:r w:rsidR="00280C0F" w:rsidRPr="00280C0F">
        <w:rPr>
          <w:rFonts w:asciiTheme="minorHAnsi" w:hAnsiTheme="minorHAnsi" w:cstheme="minorHAnsi"/>
          <w:sz w:val="22"/>
          <w:szCs w:val="22"/>
        </w:rPr>
        <w:t xml:space="preserve">three other </w:t>
      </w:r>
      <w:r w:rsidR="00280C0F">
        <w:rPr>
          <w:rFonts w:asciiTheme="minorHAnsi" w:hAnsiTheme="minorHAnsi" w:cstheme="minorHAnsi"/>
          <w:sz w:val="22"/>
          <w:szCs w:val="22"/>
        </w:rPr>
        <w:t>booths</w:t>
      </w:r>
      <w:r w:rsidR="00280C0F" w:rsidRPr="00280C0F">
        <w:rPr>
          <w:rFonts w:asciiTheme="minorHAnsi" w:hAnsiTheme="minorHAnsi" w:cstheme="minorHAnsi"/>
          <w:sz w:val="22"/>
          <w:szCs w:val="22"/>
        </w:rPr>
        <w:t xml:space="preserve"> in the workshop. </w:t>
      </w:r>
      <w:r w:rsidR="00280C0F">
        <w:rPr>
          <w:rFonts w:asciiTheme="minorHAnsi" w:hAnsiTheme="minorHAnsi" w:cstheme="minorHAnsi"/>
          <w:sz w:val="22"/>
          <w:szCs w:val="22"/>
        </w:rPr>
        <w:t>Shane</w:t>
      </w:r>
      <w:r w:rsidR="00280C0F" w:rsidRPr="00280C0F">
        <w:rPr>
          <w:rFonts w:asciiTheme="minorHAnsi" w:hAnsiTheme="minorHAnsi" w:cstheme="minorHAnsi"/>
          <w:sz w:val="22"/>
          <w:szCs w:val="22"/>
        </w:rPr>
        <w:t xml:space="preserve"> suffered serious injuries as </w:t>
      </w:r>
      <w:r w:rsidR="00280C0F" w:rsidRPr="00280C0F">
        <w:rPr>
          <w:rFonts w:asciiTheme="minorHAnsi" w:hAnsiTheme="minorHAnsi" w:cstheme="minorHAnsi"/>
          <w:sz w:val="22"/>
          <w:szCs w:val="22"/>
        </w:rPr>
        <w:lastRenderedPageBreak/>
        <w:t xml:space="preserve">a result of the incident and he now cannot </w:t>
      </w:r>
      <w:r w:rsidR="00E429D1">
        <w:rPr>
          <w:rFonts w:asciiTheme="minorHAnsi" w:hAnsiTheme="minorHAnsi" w:cstheme="minorHAnsi"/>
          <w:sz w:val="22"/>
          <w:szCs w:val="22"/>
        </w:rPr>
        <w:t xml:space="preserve">see in his left eye. He </w:t>
      </w:r>
      <w:r w:rsidR="00280C0F" w:rsidRPr="00280C0F">
        <w:rPr>
          <w:rFonts w:asciiTheme="minorHAnsi" w:hAnsiTheme="minorHAnsi" w:cstheme="minorHAnsi"/>
          <w:sz w:val="22"/>
          <w:szCs w:val="22"/>
        </w:rPr>
        <w:t xml:space="preserve">also suffers from recurring </w:t>
      </w:r>
      <w:r w:rsidR="00E429D1">
        <w:rPr>
          <w:rFonts w:asciiTheme="minorHAnsi" w:hAnsiTheme="minorHAnsi" w:cstheme="minorHAnsi"/>
          <w:sz w:val="22"/>
          <w:szCs w:val="22"/>
        </w:rPr>
        <w:t xml:space="preserve">skin complications due to </w:t>
      </w:r>
      <w:r>
        <w:rPr>
          <w:rFonts w:asciiTheme="minorHAnsi" w:hAnsiTheme="minorHAnsi" w:cstheme="minorHAnsi"/>
          <w:sz w:val="22"/>
          <w:szCs w:val="22"/>
        </w:rPr>
        <w:t>contamination he received on his arms and face</w:t>
      </w:r>
      <w:r w:rsidR="00280C0F" w:rsidRPr="00280C0F">
        <w:rPr>
          <w:rFonts w:asciiTheme="minorHAnsi" w:hAnsiTheme="minorHAnsi" w:cstheme="minorHAnsi"/>
          <w:sz w:val="22"/>
          <w:szCs w:val="22"/>
        </w:rPr>
        <w:t xml:space="preserve">. </w:t>
      </w:r>
      <w:r>
        <w:rPr>
          <w:rFonts w:asciiTheme="minorHAnsi" w:hAnsiTheme="minorHAnsi" w:cstheme="minorHAnsi"/>
          <w:sz w:val="22"/>
          <w:szCs w:val="22"/>
        </w:rPr>
        <w:t xml:space="preserve">Shane </w:t>
      </w:r>
      <w:r w:rsidR="00280C0F" w:rsidRPr="00280C0F">
        <w:rPr>
          <w:rFonts w:asciiTheme="minorHAnsi" w:hAnsiTheme="minorHAnsi" w:cstheme="minorHAnsi"/>
          <w:sz w:val="22"/>
          <w:szCs w:val="22"/>
        </w:rPr>
        <w:t xml:space="preserve">now receives a small government funded disability pension and can no longer work in the motor vehicle </w:t>
      </w:r>
      <w:r w:rsidR="00641554">
        <w:rPr>
          <w:rFonts w:asciiTheme="minorHAnsi" w:hAnsiTheme="minorHAnsi" w:cstheme="minorHAnsi"/>
          <w:sz w:val="22"/>
          <w:szCs w:val="22"/>
        </w:rPr>
        <w:t>safety</w:t>
      </w:r>
      <w:r w:rsidR="00280C0F" w:rsidRPr="00280C0F">
        <w:rPr>
          <w:rFonts w:asciiTheme="minorHAnsi" w:hAnsiTheme="minorHAnsi" w:cstheme="minorHAnsi"/>
          <w:sz w:val="22"/>
          <w:szCs w:val="22"/>
        </w:rPr>
        <w:t xml:space="preserve"> sector.</w:t>
      </w:r>
      <w:r w:rsidR="00137CF0">
        <w:rPr>
          <w:rFonts w:asciiTheme="minorHAnsi" w:hAnsiTheme="minorHAnsi" w:cstheme="minorHAnsi"/>
          <w:sz w:val="22"/>
          <w:szCs w:val="22"/>
        </w:rPr>
        <w:t xml:space="preserve"> He also cannot play tennis anymore and has since missed a local tournament that he was expected to win. The tournament organisers promised prizemoney of $10000 for overall men’s champion.</w:t>
      </w:r>
    </w:p>
    <w:p w14:paraId="47E4BFD7" w14:textId="77777777" w:rsidR="00280C0F" w:rsidRDefault="00280C0F" w:rsidP="00280C0F">
      <w:pPr>
        <w:pStyle w:val="BodyText"/>
        <w:kinsoku w:val="0"/>
        <w:overflowPunct w:val="0"/>
        <w:spacing w:before="10"/>
        <w:rPr>
          <w:rFonts w:asciiTheme="minorHAnsi" w:hAnsiTheme="minorHAnsi" w:cstheme="minorHAnsi"/>
          <w:sz w:val="22"/>
          <w:szCs w:val="22"/>
        </w:rPr>
      </w:pPr>
    </w:p>
    <w:p w14:paraId="2DA07924" w14:textId="77777777" w:rsidR="00BE026F" w:rsidRDefault="00BE026F" w:rsidP="00BE026F">
      <w:pPr>
        <w:pStyle w:val="BodyText"/>
        <w:kinsoku w:val="0"/>
        <w:overflowPunct w:val="0"/>
        <w:ind w:left="119" w:right="91"/>
        <w:rPr>
          <w:rFonts w:asciiTheme="minorHAnsi" w:hAnsiTheme="minorHAnsi" w:cstheme="minorHAnsi"/>
          <w:sz w:val="22"/>
          <w:szCs w:val="22"/>
        </w:rPr>
      </w:pPr>
      <w:r w:rsidRPr="00280C0F">
        <w:rPr>
          <w:rFonts w:asciiTheme="minorHAnsi" w:hAnsiTheme="minorHAnsi" w:cstheme="minorHAnsi"/>
          <w:sz w:val="22"/>
          <w:szCs w:val="22"/>
        </w:rPr>
        <w:t xml:space="preserve">An investigation into the incident revealed that </w:t>
      </w:r>
      <w:r>
        <w:rPr>
          <w:rFonts w:asciiTheme="minorHAnsi" w:hAnsiTheme="minorHAnsi" w:cstheme="minorHAnsi"/>
          <w:sz w:val="22"/>
          <w:szCs w:val="22"/>
        </w:rPr>
        <w:t>Shane</w:t>
      </w:r>
      <w:r w:rsidRPr="00280C0F">
        <w:rPr>
          <w:rFonts w:asciiTheme="minorHAnsi" w:hAnsiTheme="minorHAnsi" w:cstheme="minorHAnsi"/>
          <w:sz w:val="22"/>
          <w:szCs w:val="22"/>
        </w:rPr>
        <w:t xml:space="preserve"> should have performed his inspection when the </w:t>
      </w:r>
      <w:r>
        <w:rPr>
          <w:rFonts w:asciiTheme="minorHAnsi" w:hAnsiTheme="minorHAnsi" w:cstheme="minorHAnsi"/>
          <w:sz w:val="22"/>
          <w:szCs w:val="22"/>
        </w:rPr>
        <w:t xml:space="preserve">booth </w:t>
      </w:r>
      <w:r w:rsidRPr="00280C0F">
        <w:rPr>
          <w:rFonts w:asciiTheme="minorHAnsi" w:hAnsiTheme="minorHAnsi" w:cstheme="minorHAnsi"/>
          <w:sz w:val="22"/>
          <w:szCs w:val="22"/>
        </w:rPr>
        <w:t xml:space="preserve">was not being used but he felt he could better assess the integrity of the hydraulic fittings whilst the </w:t>
      </w:r>
      <w:r>
        <w:rPr>
          <w:rFonts w:asciiTheme="minorHAnsi" w:hAnsiTheme="minorHAnsi" w:cstheme="minorHAnsi"/>
          <w:sz w:val="22"/>
          <w:szCs w:val="22"/>
        </w:rPr>
        <w:t xml:space="preserve">booth </w:t>
      </w:r>
      <w:r w:rsidRPr="00280C0F">
        <w:rPr>
          <w:rFonts w:asciiTheme="minorHAnsi" w:hAnsiTheme="minorHAnsi" w:cstheme="minorHAnsi"/>
          <w:sz w:val="22"/>
          <w:szCs w:val="22"/>
        </w:rPr>
        <w:t>was operational. He had been using this method for many years without incident.</w:t>
      </w:r>
      <w:r w:rsidR="00137CF0">
        <w:rPr>
          <w:rFonts w:asciiTheme="minorHAnsi" w:hAnsiTheme="minorHAnsi" w:cstheme="minorHAnsi"/>
          <w:sz w:val="22"/>
          <w:szCs w:val="22"/>
        </w:rPr>
        <w:t xml:space="preserve"> Shane seeks compensation for the pain and suffering, medical expenses, loss of future income and the prizemoney for the tournament.  </w:t>
      </w:r>
    </w:p>
    <w:p w14:paraId="00543259" w14:textId="77777777" w:rsidR="001912EE" w:rsidRDefault="001912EE" w:rsidP="00BE026F">
      <w:pPr>
        <w:pStyle w:val="BodyText"/>
        <w:kinsoku w:val="0"/>
        <w:overflowPunct w:val="0"/>
        <w:ind w:left="119" w:right="91"/>
        <w:rPr>
          <w:rFonts w:asciiTheme="minorHAnsi" w:hAnsiTheme="minorHAnsi" w:cstheme="minorHAnsi"/>
          <w:sz w:val="22"/>
          <w:szCs w:val="22"/>
        </w:rPr>
      </w:pPr>
    </w:p>
    <w:p w14:paraId="391C32C2" w14:textId="77777777" w:rsidR="001912EE" w:rsidRDefault="001912EE" w:rsidP="001912EE">
      <w:pPr>
        <w:pStyle w:val="BodyText"/>
        <w:kinsoku w:val="0"/>
        <w:overflowPunct w:val="0"/>
        <w:ind w:left="119" w:right="91"/>
        <w:rPr>
          <w:rFonts w:asciiTheme="minorHAnsi" w:hAnsiTheme="minorHAnsi" w:cstheme="minorHAnsi"/>
          <w:b/>
          <w:sz w:val="22"/>
          <w:szCs w:val="22"/>
        </w:rPr>
      </w:pPr>
      <w:r>
        <w:rPr>
          <w:rFonts w:asciiTheme="minorHAnsi" w:hAnsiTheme="minorHAnsi" w:cstheme="minorHAnsi"/>
          <w:b/>
          <w:sz w:val="22"/>
          <w:szCs w:val="22"/>
        </w:rPr>
        <w:t>Question: Answer both 1 &amp; 2 using separate 4 step structures.</w:t>
      </w:r>
    </w:p>
    <w:p w14:paraId="09D41FB0" w14:textId="77777777" w:rsidR="001912EE" w:rsidRDefault="001912EE" w:rsidP="00BE026F">
      <w:pPr>
        <w:pStyle w:val="BodyText"/>
        <w:kinsoku w:val="0"/>
        <w:overflowPunct w:val="0"/>
        <w:ind w:left="119" w:right="91"/>
        <w:rPr>
          <w:rFonts w:asciiTheme="minorHAnsi" w:hAnsiTheme="minorHAnsi" w:cstheme="minorHAnsi"/>
          <w:sz w:val="22"/>
          <w:szCs w:val="22"/>
        </w:rPr>
      </w:pPr>
    </w:p>
    <w:p w14:paraId="29D05152" w14:textId="77777777" w:rsidR="00ED2DBD" w:rsidRPr="00280C0F" w:rsidRDefault="00ED2DBD" w:rsidP="00BE026F">
      <w:pPr>
        <w:pStyle w:val="BodyText"/>
        <w:kinsoku w:val="0"/>
        <w:overflowPunct w:val="0"/>
        <w:ind w:left="119" w:right="91"/>
        <w:rPr>
          <w:rFonts w:asciiTheme="minorHAnsi" w:hAnsiTheme="minorHAnsi" w:cstheme="minorHAnsi"/>
          <w:sz w:val="22"/>
          <w:szCs w:val="22"/>
        </w:rPr>
      </w:pPr>
    </w:p>
    <w:p w14:paraId="37CC7AFA" w14:textId="77777777" w:rsidR="00E84E87" w:rsidRPr="00137CF0" w:rsidRDefault="00E84E87" w:rsidP="00137CF0">
      <w:pPr>
        <w:pStyle w:val="ListParagraph"/>
        <w:numPr>
          <w:ilvl w:val="0"/>
          <w:numId w:val="6"/>
        </w:numPr>
        <w:rPr>
          <w:b/>
        </w:rPr>
      </w:pPr>
      <w:r w:rsidRPr="00137CF0">
        <w:rPr>
          <w:b/>
        </w:rPr>
        <w:t xml:space="preserve">Using the 4 step process explain what liability (if any) </w:t>
      </w:r>
      <w:r w:rsidR="00E429D1" w:rsidRPr="00137CF0">
        <w:rPr>
          <w:b/>
        </w:rPr>
        <w:t xml:space="preserve">Solomon Fielder </w:t>
      </w:r>
      <w:r w:rsidR="00ED2DBD" w:rsidRPr="00137CF0">
        <w:rPr>
          <w:b/>
        </w:rPr>
        <w:t xml:space="preserve">has to Shane King </w:t>
      </w:r>
      <w:r w:rsidRPr="00137CF0">
        <w:rPr>
          <w:b/>
        </w:rPr>
        <w:t xml:space="preserve">in the common law </w:t>
      </w:r>
      <w:r w:rsidRPr="00137CF0">
        <w:rPr>
          <w:b/>
          <w:i/>
        </w:rPr>
        <w:t xml:space="preserve">Tort of Negligence. </w:t>
      </w:r>
      <w:r w:rsidRPr="00137CF0">
        <w:rPr>
          <w:b/>
        </w:rPr>
        <w:t xml:space="preserve">(35 marks) </w:t>
      </w:r>
    </w:p>
    <w:p w14:paraId="3A968789" w14:textId="77777777" w:rsidR="00E84E87" w:rsidRDefault="00E84E87" w:rsidP="00E84E87">
      <w:pPr>
        <w:rPr>
          <w:b/>
        </w:rPr>
      </w:pPr>
    </w:p>
    <w:p w14:paraId="3BDA6DE2" w14:textId="77777777" w:rsidR="00E84E87" w:rsidRDefault="00E84E87" w:rsidP="00E84E87">
      <w:pPr>
        <w:rPr>
          <w:b/>
        </w:rPr>
      </w:pPr>
      <w:r>
        <w:rPr>
          <w:b/>
        </w:rPr>
        <w:tab/>
        <w:t>and</w:t>
      </w:r>
    </w:p>
    <w:p w14:paraId="45B64C25" w14:textId="77777777" w:rsidR="00E84E87" w:rsidRDefault="00E84E87" w:rsidP="00E84E87">
      <w:pPr>
        <w:ind w:left="360"/>
        <w:rPr>
          <w:b/>
        </w:rPr>
      </w:pPr>
    </w:p>
    <w:p w14:paraId="7D94077F" w14:textId="77777777" w:rsidR="00E84E87" w:rsidRPr="00137CF0" w:rsidRDefault="00E84E87" w:rsidP="00137CF0">
      <w:pPr>
        <w:pStyle w:val="ListParagraph"/>
        <w:numPr>
          <w:ilvl w:val="0"/>
          <w:numId w:val="4"/>
        </w:numPr>
        <w:spacing w:after="0" w:line="240" w:lineRule="auto"/>
        <w:ind w:right="0"/>
        <w:jc w:val="left"/>
        <w:rPr>
          <w:b/>
        </w:rPr>
      </w:pPr>
      <w:r w:rsidRPr="00137CF0">
        <w:rPr>
          <w:b/>
        </w:rPr>
        <w:t xml:space="preserve">Using the 4 step process discuss whether </w:t>
      </w:r>
      <w:r w:rsidR="00ED2DBD" w:rsidRPr="00137CF0">
        <w:rPr>
          <w:b/>
        </w:rPr>
        <w:t xml:space="preserve">Solomon Fielder </w:t>
      </w:r>
      <w:r w:rsidRPr="00137CF0">
        <w:rPr>
          <w:b/>
        </w:rPr>
        <w:t xml:space="preserve">has any common law </w:t>
      </w:r>
      <w:r w:rsidRPr="00137CF0">
        <w:rPr>
          <w:b/>
          <w:i/>
        </w:rPr>
        <w:t>defence</w:t>
      </w:r>
      <w:r w:rsidRPr="00137CF0">
        <w:rPr>
          <w:b/>
        </w:rPr>
        <w:t xml:space="preserve"> to  action</w:t>
      </w:r>
      <w:r w:rsidR="00BE026F" w:rsidRPr="00137CF0">
        <w:rPr>
          <w:b/>
        </w:rPr>
        <w:t xml:space="preserve"> </w:t>
      </w:r>
      <w:r w:rsidR="00E429D1" w:rsidRPr="00137CF0">
        <w:rPr>
          <w:b/>
        </w:rPr>
        <w:t xml:space="preserve">in negligence </w:t>
      </w:r>
      <w:r w:rsidRPr="00137CF0">
        <w:rPr>
          <w:b/>
        </w:rPr>
        <w:t xml:space="preserve">(assuming </w:t>
      </w:r>
      <w:r w:rsidR="00ED2DBD" w:rsidRPr="00137CF0">
        <w:rPr>
          <w:b/>
        </w:rPr>
        <w:t xml:space="preserve">Shane King </w:t>
      </w:r>
      <w:r w:rsidRPr="00137CF0">
        <w:rPr>
          <w:b/>
        </w:rPr>
        <w:t>is successful in proving negligence against</w:t>
      </w:r>
      <w:r w:rsidR="00BE026F" w:rsidRPr="00137CF0">
        <w:rPr>
          <w:b/>
        </w:rPr>
        <w:t xml:space="preserve"> </w:t>
      </w:r>
      <w:r w:rsidR="00ED2DBD" w:rsidRPr="00137CF0">
        <w:rPr>
          <w:b/>
        </w:rPr>
        <w:t>him</w:t>
      </w:r>
      <w:r w:rsidRPr="00137CF0">
        <w:rPr>
          <w:b/>
        </w:rPr>
        <w:t>)? (15 marks).</w:t>
      </w:r>
    </w:p>
    <w:p w14:paraId="32F08E18" w14:textId="77777777" w:rsidR="00E84E87" w:rsidRDefault="00E84E87" w:rsidP="00E84E87">
      <w:pPr>
        <w:rPr>
          <w:b/>
        </w:rPr>
      </w:pPr>
    </w:p>
    <w:p w14:paraId="51880B68" w14:textId="77777777" w:rsidR="00E84E87" w:rsidRPr="00253FD2" w:rsidRDefault="00E84E87" w:rsidP="00E84E87">
      <w:pPr>
        <w:rPr>
          <w:b/>
          <w:i/>
        </w:rPr>
      </w:pPr>
      <w:r w:rsidRPr="00253FD2">
        <w:rPr>
          <w:b/>
          <w:i/>
        </w:rPr>
        <w:t xml:space="preserve">Note: These questions should be considered using the common law. There is no need to refer to Occupational Health and Safety </w:t>
      </w:r>
      <w:r>
        <w:rPr>
          <w:b/>
          <w:i/>
        </w:rPr>
        <w:t>legislation</w:t>
      </w:r>
      <w:r w:rsidRPr="00253FD2">
        <w:rPr>
          <w:b/>
          <w:i/>
        </w:rPr>
        <w:t xml:space="preserve"> for example. </w:t>
      </w:r>
    </w:p>
    <w:p w14:paraId="6B2A62B4" w14:textId="77777777" w:rsidR="00412D6C" w:rsidRDefault="00420189">
      <w:pPr>
        <w:ind w:left="-5" w:right="0"/>
      </w:pPr>
      <w:r>
        <w:t xml:space="preserve">Submission: Via Turnitin. Instructions for submission via Turnitin are on Blackboard. Submit your answer as ONE Microsoft Word document (no PDF’s). </w:t>
      </w:r>
    </w:p>
    <w:p w14:paraId="54198FFF" w14:textId="77777777" w:rsidR="00412D6C" w:rsidRDefault="00420189">
      <w:pPr>
        <w:ind w:left="-5" w:right="0"/>
      </w:pPr>
      <w:r>
        <w:t xml:space="preserve">Note: The word count is not to exceed 3000 words. </w:t>
      </w:r>
    </w:p>
    <w:p w14:paraId="73B6062C" w14:textId="77777777" w:rsidR="00412D6C" w:rsidRDefault="00420189">
      <w:pPr>
        <w:spacing w:after="161" w:line="259" w:lineRule="auto"/>
        <w:ind w:left="0" w:right="0" w:firstLine="0"/>
        <w:jc w:val="left"/>
      </w:pPr>
      <w:r>
        <w:t xml:space="preserve"> </w:t>
      </w:r>
    </w:p>
    <w:p w14:paraId="2917AC57" w14:textId="77777777" w:rsidR="00412D6C" w:rsidRDefault="00420189">
      <w:pPr>
        <w:spacing w:after="159" w:line="259" w:lineRule="auto"/>
        <w:ind w:left="-5" w:right="0"/>
        <w:jc w:val="left"/>
      </w:pPr>
      <w:r>
        <w:rPr>
          <w:b/>
        </w:rPr>
        <w:t xml:space="preserve">Assessment Rubric: </w:t>
      </w:r>
    </w:p>
    <w:p w14:paraId="0C3B3DE1" w14:textId="77777777" w:rsidR="00412D6C" w:rsidRDefault="00420189">
      <w:pPr>
        <w:ind w:left="-5" w:right="0"/>
      </w:pPr>
      <w:r>
        <w:t xml:space="preserve">Question 1 </w:t>
      </w:r>
    </w:p>
    <w:p w14:paraId="57C1A406" w14:textId="77777777" w:rsidR="00412D6C" w:rsidRDefault="00420189">
      <w:pPr>
        <w:ind w:left="-5" w:right="0"/>
      </w:pPr>
      <w:r>
        <w:t xml:space="preserve">Area of law: 0 marks; Principles of law: 17 Marks; Application to facts: 14 Marks; Conclusion: 1 Mark; Referencing and general presentation 3 marks. </w:t>
      </w:r>
    </w:p>
    <w:p w14:paraId="3ABE585D" w14:textId="77777777" w:rsidR="00412D6C" w:rsidRDefault="00420189">
      <w:pPr>
        <w:ind w:left="-5" w:right="0"/>
      </w:pPr>
      <w:r>
        <w:t xml:space="preserve">Question 2 </w:t>
      </w:r>
    </w:p>
    <w:p w14:paraId="3350CDFD" w14:textId="77777777" w:rsidR="00412D6C" w:rsidRDefault="00420189">
      <w:pPr>
        <w:ind w:left="-5" w:right="0"/>
      </w:pPr>
      <w:r>
        <w:t xml:space="preserve">Area of Law (0 marks) Principles of Law: 7 marks; Application to facts: 5 marks; Conclusion 1 mark; Referencing and general presentation 2 marks. </w:t>
      </w:r>
    </w:p>
    <w:p w14:paraId="3DFB3375" w14:textId="77777777" w:rsidR="00412D6C" w:rsidRDefault="00420189">
      <w:pPr>
        <w:ind w:left="-5" w:right="0"/>
      </w:pPr>
      <w:r>
        <w:t xml:space="preserve">(Write in ways appropriate to the discipline, purpose and context concisely and effectively, appropriately referenced.  Properly apply the four-step process.) </w:t>
      </w:r>
    </w:p>
    <w:p w14:paraId="68F1F375" w14:textId="77777777" w:rsidR="00412D6C" w:rsidRDefault="00420189">
      <w:pPr>
        <w:ind w:left="-5" w:right="0"/>
      </w:pPr>
      <w:r>
        <w:t xml:space="preserve">Please note: </w:t>
      </w:r>
    </w:p>
    <w:p w14:paraId="2515B52F" w14:textId="77777777" w:rsidR="00412D6C" w:rsidRDefault="00420189">
      <w:pPr>
        <w:numPr>
          <w:ilvl w:val="0"/>
          <w:numId w:val="1"/>
        </w:numPr>
        <w:ind w:right="0" w:hanging="218"/>
      </w:pPr>
      <w:r>
        <w:lastRenderedPageBreak/>
        <w:t xml:space="preserve">Late papers incur a penalty of 5% marks for day 1 or part thereof late and 10% for each day after. </w:t>
      </w:r>
    </w:p>
    <w:p w14:paraId="4CD49235" w14:textId="77777777" w:rsidR="00412D6C" w:rsidRDefault="00420189">
      <w:pPr>
        <w:numPr>
          <w:ilvl w:val="0"/>
          <w:numId w:val="1"/>
        </w:numPr>
        <w:ind w:right="0" w:hanging="218"/>
      </w:pPr>
      <w:r>
        <w:t xml:space="preserve">Exceeding word count limits will result in deduction of marks. </w:t>
      </w:r>
    </w:p>
    <w:p w14:paraId="11F9D5B2" w14:textId="77777777" w:rsidR="00412D6C" w:rsidRDefault="00420189">
      <w:pPr>
        <w:numPr>
          <w:ilvl w:val="0"/>
          <w:numId w:val="1"/>
        </w:numPr>
        <w:ind w:right="0" w:hanging="218"/>
      </w:pPr>
      <w:r>
        <w:t xml:space="preserve">Reference correctly using the Chicago method. </w:t>
      </w:r>
      <w:bookmarkStart w:id="0" w:name="_GoBack"/>
      <w:bookmarkEnd w:id="0"/>
    </w:p>
    <w:p w14:paraId="3887CA5B" w14:textId="77777777" w:rsidR="00412D6C" w:rsidRDefault="00420189">
      <w:pPr>
        <w:numPr>
          <w:ilvl w:val="0"/>
          <w:numId w:val="1"/>
        </w:numPr>
        <w:spacing w:after="158" w:line="259" w:lineRule="auto"/>
        <w:ind w:right="0" w:hanging="218"/>
      </w:pPr>
      <w:r>
        <w:t xml:space="preserve">Name your document correctly in the following format: “SurnameStudentNumberAssignment2.” </w:t>
      </w:r>
    </w:p>
    <w:p w14:paraId="4C6AE3D8" w14:textId="77777777" w:rsidR="00412D6C" w:rsidRDefault="00420189">
      <w:pPr>
        <w:numPr>
          <w:ilvl w:val="0"/>
          <w:numId w:val="1"/>
        </w:numPr>
        <w:ind w:right="0" w:hanging="218"/>
      </w:pPr>
      <w:r>
        <w:t xml:space="preserve">You may wish to check your submission using the Turnitin but remember your final upload is the    version that will be marked. 6. Bibliographies are not included in the word count. </w:t>
      </w:r>
    </w:p>
    <w:p w14:paraId="3BB3A6B1" w14:textId="77777777" w:rsidR="00412D6C" w:rsidRDefault="00420189">
      <w:pPr>
        <w:spacing w:after="158" w:line="259" w:lineRule="auto"/>
        <w:ind w:left="0" w:right="0" w:firstLine="0"/>
        <w:jc w:val="left"/>
      </w:pPr>
      <w:r>
        <w:t xml:space="preserve"> </w:t>
      </w:r>
    </w:p>
    <w:p w14:paraId="760EAA3E" w14:textId="77777777" w:rsidR="00412D6C" w:rsidRDefault="00420189">
      <w:pPr>
        <w:pStyle w:val="Heading1"/>
        <w:spacing w:after="0"/>
        <w:ind w:right="6"/>
      </w:pPr>
      <w:r>
        <w:t xml:space="preserve">END OF ASSIGNMENT DOCUMENT </w:t>
      </w:r>
    </w:p>
    <w:sectPr w:rsidR="00412D6C">
      <w:pgSz w:w="11906" w:h="16838"/>
      <w:pgMar w:top="1483" w:right="1434" w:bottom="15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05B"/>
    <w:multiLevelType w:val="hybridMultilevel"/>
    <w:tmpl w:val="90907970"/>
    <w:lvl w:ilvl="0" w:tplc="AC14E9B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26C62"/>
    <w:multiLevelType w:val="hybridMultilevel"/>
    <w:tmpl w:val="C86EC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641110"/>
    <w:multiLevelType w:val="hybridMultilevel"/>
    <w:tmpl w:val="F2C65A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A6099C"/>
    <w:multiLevelType w:val="hybridMultilevel"/>
    <w:tmpl w:val="EABCC2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221860"/>
    <w:multiLevelType w:val="hybridMultilevel"/>
    <w:tmpl w:val="7D0A9028"/>
    <w:lvl w:ilvl="0" w:tplc="950EE5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C67B41"/>
    <w:multiLevelType w:val="hybridMultilevel"/>
    <w:tmpl w:val="9E84DB48"/>
    <w:lvl w:ilvl="0" w:tplc="E6A009A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3A1C6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2028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2EEC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E213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984E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CA74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623D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7C16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6C"/>
    <w:rsid w:val="00035B6E"/>
    <w:rsid w:val="00137CF0"/>
    <w:rsid w:val="00150B77"/>
    <w:rsid w:val="001912EE"/>
    <w:rsid w:val="00280C0F"/>
    <w:rsid w:val="00412D6C"/>
    <w:rsid w:val="00420189"/>
    <w:rsid w:val="005F27C4"/>
    <w:rsid w:val="00641554"/>
    <w:rsid w:val="007E50DE"/>
    <w:rsid w:val="00847B4A"/>
    <w:rsid w:val="009F3484"/>
    <w:rsid w:val="00B62CFA"/>
    <w:rsid w:val="00BE026F"/>
    <w:rsid w:val="00E429D1"/>
    <w:rsid w:val="00E84E87"/>
    <w:rsid w:val="00EA6B66"/>
    <w:rsid w:val="00ED2D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0AAF"/>
  <w15:docId w15:val="{5177A2B8-ECF0-4169-91BC-9A205BC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2"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8"/>
      <w:ind w:right="2"/>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BodyText">
    <w:name w:val="Body Text"/>
    <w:basedOn w:val="Normal"/>
    <w:link w:val="BodyTextChar"/>
    <w:uiPriority w:val="1"/>
    <w:qFormat/>
    <w:rsid w:val="00280C0F"/>
    <w:pPr>
      <w:widowControl w:val="0"/>
      <w:autoSpaceDE w:val="0"/>
      <w:autoSpaceDN w:val="0"/>
      <w:adjustRightInd w:val="0"/>
      <w:spacing w:after="0" w:line="240" w:lineRule="auto"/>
      <w:ind w:left="0" w:right="0" w:firstLine="0"/>
      <w:jc w:val="left"/>
    </w:pPr>
    <w:rPr>
      <w:rFonts w:ascii="Arial" w:eastAsiaTheme="minorEastAsia" w:hAnsi="Arial" w:cs="Arial"/>
      <w:color w:val="auto"/>
      <w:sz w:val="20"/>
      <w:szCs w:val="20"/>
    </w:rPr>
  </w:style>
  <w:style w:type="character" w:customStyle="1" w:styleId="BodyTextChar">
    <w:name w:val="Body Text Char"/>
    <w:basedOn w:val="DefaultParagraphFont"/>
    <w:link w:val="BodyText"/>
    <w:uiPriority w:val="1"/>
    <w:rsid w:val="00280C0F"/>
    <w:rPr>
      <w:rFonts w:ascii="Arial" w:hAnsi="Arial" w:cs="Arial"/>
      <w:sz w:val="20"/>
      <w:szCs w:val="20"/>
    </w:rPr>
  </w:style>
  <w:style w:type="paragraph" w:styleId="ListParagraph">
    <w:name w:val="List Paragraph"/>
    <w:basedOn w:val="Normal"/>
    <w:uiPriority w:val="34"/>
    <w:qFormat/>
    <w:rsid w:val="0013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Martin</dc:creator>
  <cp:keywords/>
  <cp:lastModifiedBy>Brett Stevens</cp:lastModifiedBy>
  <cp:revision>2</cp:revision>
  <cp:lastPrinted>2020-04-09T05:09:00Z</cp:lastPrinted>
  <dcterms:created xsi:type="dcterms:W3CDTF">2020-09-30T10:12:00Z</dcterms:created>
  <dcterms:modified xsi:type="dcterms:W3CDTF">2020-09-30T10:12:00Z</dcterms:modified>
</cp:coreProperties>
</file>