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B5FA5"/>
          <w:sz w:val="16"/>
          <w:szCs w:val="16"/>
        </w:rPr>
        <w:t xml:space="preserve">EXECUTIVE BRIEF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Spine and Leaf</w:t>
      </w:r>
    </w:p>
    <w:p>
      <w:pPr>
        <w:spacing w:after="6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Product Delivery Blueprint for the AI Era</w:t>
      </w:r>
    </w:p>
    <w:p>
      <w:pPr>
        <w:pBdr>
          <w:bottom w:val="single" w:color="0B5FA5" w:sz="10" w:space="2"/>
        </w:pBdr>
        <w:spacing w:after="10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Customer empathy is the foundation. Technology depth is the new ceiling.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B5FA5"/>
          <w:sz w:val="14"/>
          <w:szCs w:val="14"/>
        </w:rPr>
        <w:t xml:space="preserve">THE SHIFT</w:t>
      </w:r>
    </w:p>
    <w:p>
      <w:pPr>
        <w:spacing w:after="80" w:before="0" w:line="260"/>
      </w:pPr>
      <w:r>
        <w:rPr>
          <w:rFonts w:ascii="Arial" w:cs="Arial" w:eastAsia="Arial" w:hAnsi="Arial"/>
          <w:sz w:val="17"/>
          <w:szCs w:val="17"/>
        </w:rPr>
        <w:t xml:space="preserve">The PM role was forged when high-fidelity artifacts were expensive. That constraint has lifted. Most organizations are using the new tools to write a faster PRD — running yesterday's process with today's tools. The methodology does not move.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The goal of this paper is to ask the better question: what is the best outcome a PM can bring to the table now that the cost curves have moved?</w:t>
      </w:r>
      <w:r>
        <w:rPr>
          <w:rFonts w:ascii="Arial" w:cs="Arial" w:eastAsia="Arial" w:hAnsi="Arial"/>
          <w:sz w:val="17"/>
          <w:szCs w:val="17"/>
        </w:rPr>
        <w:t xml:space="preserve"> The answer proposed here is a Spine — the immutable customer narrative — and a set of Leaves — high-resolution artifacts each stakeholder consumes directly, without translation.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0B5FA5"/>
          <w:sz w:val="14"/>
          <w:szCs w:val="14"/>
        </w:rPr>
        <w:t xml:space="preserve">THE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SPINE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immutable core narrative. Problem, user, success metrics, scope. Written from customer empathy. Two to four pages, plain language. Every Leaf must trace to it.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LEAVES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Five canonical artifacts the PM produces directly.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The Leaves are code — a change to the Spine propagates to every team's resolution.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Leaf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0B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Eliminates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Architects, infra, security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Ambiguity about Build vs. Leverage; system-design loss from prose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Engineering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Frontend, design system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Wireframe-to-DOM loss; missing states (loading, empty, error)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Go-To-Market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Sales, exec, design partners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Strategy-to-pitch loss; abstract concept-to-business-value loss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Design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Designers, UX research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Static-to-living-interface loss; trust signal ambiguity</w:t>
            </w:r>
          </w:p>
        </w:tc>
      </w:tr>
      <w:t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Compliance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QA, audit, support</w:t>
            </w:r>
          </w:p>
        </w:tc>
        <w:tc>
          <w:tcPr>
            <w:tcW w:type="dxa" w:w="50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Spec-to-test loss; ambiguity about what was actually committed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B5FA5"/>
          <w:sz w:val="14"/>
          <w:szCs w:val="14"/>
        </w:rPr>
        <w:t xml:space="preserve">THE RHYTHM (TWO-WEEK CYCLE)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FA5"/>
                <w:sz w:val="18"/>
                <w:szCs w:val="18"/>
              </w:rPr>
              <w:t xml:space="preserve">Day 0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PM produces Spine + first draft Leaves. Alignment cost paid up front.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FA5"/>
                <w:sz w:val="18"/>
                <w:szCs w:val="18"/>
              </w:rPr>
              <w:t xml:space="preserve">Days 1–2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Single alignment session. Artifacts do the work; meeting confirms.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FA5"/>
                <w:sz w:val="18"/>
                <w:szCs w:val="18"/>
              </w:rPr>
              <w:t xml:space="preserve">Days 3–8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Parallel execution: engineering, GTM, design partners — all start day three.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FA5"/>
                <w:sz w:val="18"/>
                <w:szCs w:val="18"/>
              </w:rPr>
              <w:t xml:space="preserve">Days 9–12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Integration. Traceability matrix reconciles each Leaf against Spine.</w:t>
            </w:r>
          </w:p>
        </w:tc>
      </w:tr>
      <w:tr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FA5"/>
                <w:sz w:val="18"/>
                <w:szCs w:val="18"/>
              </w:rPr>
              <w:t xml:space="preserve">Days 13–14</w:t>
            </w:r>
          </w:p>
        </w:tc>
        <w:tc>
          <w:tcPr>
            <w:tcW w:type="dxa" w:w="7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Ship. Same artifacts that aligned the team now align the customer.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0B5FA5"/>
          <w:sz w:val="14"/>
          <w:szCs w:val="14"/>
        </w:rPr>
        <w:t xml:space="preserve">WHY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FA5"/>
                <w:sz w:val="18"/>
                <w:szCs w:val="18"/>
              </w:rPr>
              <w:t xml:space="preserve">Empathy is the floor.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
A poorly understood user produces a hollow Spine — and the new tools amplify whatever truth or untruth the Spine encodes.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FA5"/>
                <w:sz w:val="18"/>
                <w:szCs w:val="18"/>
              </w:rPr>
              <w:t xml:space="preserve">Depth is the ceiling.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
The Build vs. Leverage decision is a product decision. Depth is what makes a PM credible enough to propose it and disciplined enough to defend it.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1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5FA5"/>
                <w:sz w:val="18"/>
                <w:szCs w:val="18"/>
              </w:rPr>
              <w:t xml:space="preserve">Speed is the dividend.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
Alignment is paid in artifacts before the sprint, not in meetings during it. Two-week cycles deliver what four-week cycles used to.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0B5FA5"/>
          <w:sz w:val="14"/>
          <w:szCs w:val="14"/>
        </w:rPr>
        <w:t xml:space="preserve">ADOPT IT IN ONE CYCLE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Pick one in-flight project with a reasonably clear Spine.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Write the Spine in plain language (2–4 pages). Solicit pushback. Freeze.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Add the Engineering Leaf this sprint. A coded prototype, even rough.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Add a second Leaf (GTM or Architecture) in cycle two. Compliance in cycle three.</w:t>
      </w:r>
    </w:p>
    <w:p>
      <w:pPr>
        <w:pBdr>
          <w:top w:val="single" w:color="0B5FA5" w:sz="10" w:space="2"/>
        </w:pBdr>
        <w:spacing w:after="0" w:before="50"/>
      </w:pPr>
      <w:r>
        <w:rPr>
          <w:rFonts w:ascii="Arial" w:cs="Arial" w:eastAsia="Arial" w:hAnsi="Arial"/>
          <w:i/>
          <w:iCs/>
          <w:color w:val="1A1A1A"/>
          <w:sz w:val="15"/>
          <w:szCs w:val="15"/>
        </w:rPr>
        <w:t xml:space="preserve">One day, AGI will do everything. Until that day arrives, we have to raise our baseline based on the ecosystem we have. Using the ecosystem without raising your baseline is a recipe for failure.</w:t>
      </w:r>
    </w:p>
    <w:p>
      <w:pPr>
        <w:spacing w:after="0" w:before="16"/>
      </w:pPr>
      <w:r>
        <w:rPr>
          <w:rFonts w:ascii="Arial" w:cs="Arial" w:eastAsia="Arial" w:hAnsi="Arial"/>
          <w:i/>
          <w:iCs/>
          <w:color w:val="777777"/>
          <w:sz w:val="13"/>
          <w:szCs w:val="13"/>
        </w:rPr>
        <w:t xml:space="preserve">The wave is here. The methodology is the surfboard.   See companion white paper for the full argument.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Spine and Leaf — Executive Brief</dc:title>
  <dc:creator>Hari</dc:creator>
  <dc:description>Single-page executive overview.</dc:description>
  <cp:lastModifiedBy>Un-named</cp:lastModifiedBy>
  <cp:revision>1</cp:revision>
  <dcterms:created xsi:type="dcterms:W3CDTF">2026-04-26T22:28:23.412Z</dcterms:created>
  <dcterms:modified xsi:type="dcterms:W3CDTF">2026-04-26T22:28:23.413Z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