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rFonts w:ascii="Georgia" w:cs="Georgia" w:eastAsia="Georgia" w:hAnsi="Georgia"/>
          <w:b/>
          <w:bCs/>
          <w:color w:val="0D1B2A"/>
          <w:sz w:val="60"/>
          <w:szCs w:val="60"/>
        </w:rPr>
        <w:t xml:space="preserve">DEAL Control Tower</w:t>
      </w:r>
    </w:p>
    <w:p>
      <w:pPr>
        <w:spacing w:before="120"/>
      </w:pPr>
      <w:r>
        <w:rPr>
          <w:rFonts w:ascii="Georgia" w:cs="Georgia" w:eastAsia="Georgia" w:hAnsi="Georgia"/>
          <w:color w:val="15756B"/>
          <w:sz w:val="32"/>
          <w:szCs w:val="32"/>
        </w:rPr>
        <w:t xml:space="preserve">Software Requirements Specification</w:t>
      </w:r>
    </w:p>
    <w:p>
      <w:pPr>
        <w:spacing w:before="80"/>
      </w:pPr>
      <w:r>
        <w:rPr>
          <w:color w:val="59636F"/>
          <w:sz w:val="22"/>
          <w:szCs w:val="22"/>
        </w:rPr>
        <w:t xml:space="preserve">Metadata management &amp; governance control plane for the DEAL lakehouse</w:t>
      </w:r>
    </w:p>
    <w:p>
      <w:pPr>
        <w:spacing w:before="600"/>
      </w:pPr>
      <w:r>
        <w:rPr>
          <w:color w:val="59636F"/>
          <w:sz w:val="18"/>
          <w:szCs w:val="18"/>
        </w:rPr>
        <w:t xml:space="preserve">Version 0.1 (Draft for review)   ·   Generated from the requirements baseline</w:t>
      </w:r>
    </w:p>
    <w:p>
      <w:r>
        <w:rPr>
          <w:color w:val="59636F"/>
          <w:sz w:val="18"/>
          <w:szCs w:val="18"/>
        </w:rPr>
        <w:t xml:space="preserve">Normative keywords per RFC 2119 (SHALL / SHOULD / MAY). Priority: MoSCoW (M/S/C/W).</w:t>
      </w:r>
    </w:p>
    <w:p>
      <w:r>
        <w:br w:type="page"/>
      </w:r>
    </w:p>
    <w:p>
      <w:pPr>
        <w:pStyle w:val="Heading1"/>
        <w:pageBreakBefore/>
        <w:spacing w:after="120"/>
      </w:pPr>
      <w:r>
        <w:rPr>
          <w:b/>
          <w:bCs/>
          <w:color w:val="0D1B2A"/>
        </w:rPr>
        <w:t xml:space="preserve">1. Introduction</w:t>
      </w:r>
    </w:p>
    <w:p>
      <w:pPr>
        <w:pStyle w:val="Heading2"/>
        <w:spacing w:after="80" w:before="220"/>
      </w:pPr>
      <w:r>
        <w:rPr>
          <w:b/>
          <w:bCs/>
          <w:color w:val="15756B"/>
        </w:rPr>
        <w:t xml:space="preserve">1.1 Purpose</w:t>
      </w:r>
    </w:p>
    <w:p>
      <w:pPr>
        <w:spacing w:after="80"/>
      </w:pPr>
      <w:r>
        <w:t xml:space="preserve">This document specifies the requirements for </w:t>
      </w:r>
      <w:r>
        <w:rPr>
          <w:b/>
          <w:bCs/>
        </w:rPr>
        <w:t xml:space="preserve">DEAL Control Tower (DCT)</w:t>
      </w:r>
      <w:r>
        <w:t xml:space="preserve">, a</w:t>
      </w:r>
    </w:p>
    <w:p>
      <w:pPr>
        <w:spacing w:after="80"/>
      </w:pPr>
      <w:r>
        <w:t xml:space="preserve">metadata management and data-governance control plane. It is the authoritative</w:t>
      </w:r>
    </w:p>
    <w:p>
      <w:pPr>
        <w:spacing w:after="80"/>
      </w:pPr>
      <w:r>
        <w:t xml:space="preserve">basis for design, build, test, and acceptance. It is written so a delivery team</w:t>
      </w:r>
    </w:p>
    <w:p>
      <w:pPr>
        <w:spacing w:after="80"/>
      </w:pPr>
      <w:r>
        <w:t xml:space="preserve">can implement DCT — as a framework deployed into the corporate environment — with</w:t>
      </w:r>
    </w:p>
    <w:p>
      <w:pPr>
        <w:spacing w:after="80"/>
      </w:pPr>
      <w:r>
        <w:t xml:space="preserve">minimal ambiguity.</w:t>
      </w:r>
    </w:p>
    <w:p>
      <w:pPr>
        <w:pStyle w:val="Heading2"/>
        <w:spacing w:after="80" w:before="220"/>
      </w:pPr>
      <w:r>
        <w:rPr>
          <w:b/>
          <w:bCs/>
          <w:color w:val="15756B"/>
        </w:rPr>
        <w:t xml:space="preserve">1.2 Product scope</w:t>
      </w:r>
    </w:p>
    <w:p>
      <w:pPr>
        <w:spacing w:after="80"/>
      </w:pPr>
      <w:r>
        <w:t xml:space="preserve">DCT governs the lifecycle of data models and the metadata-driven pipelines that</w:t>
      </w:r>
    </w:p>
    <w:p>
      <w:pPr>
        <w:spacing w:after="80"/>
      </w:pPr>
      <w:r>
        <w:t xml:space="preserve">realize them on the DEAL lakehouse (Databricks medallion). It: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Houses all model classes — </w:t>
      </w:r>
      <w:r>
        <w:rPr>
          <w:b/>
          <w:bCs/>
        </w:rPr>
        <w:t xml:space="preserve">BDM</w:t>
      </w:r>
      <w:r>
        <w:t xml:space="preserve"> (business), </w:t>
      </w:r>
      <w:r>
        <w:rPr>
          <w:b/>
          <w:bCs/>
        </w:rPr>
        <w:t xml:space="preserve">PDM</w:t>
      </w:r>
      <w:r>
        <w:t xml:space="preserve"> (physical), and</w:t>
      </w:r>
    </w:p>
    <w:p>
      <w:pPr>
        <w:spacing w:after="80"/>
      </w:pPr>
      <w:r>
        <w:rPr>
          <w:b/>
          <w:bCs/>
        </w:rPr>
        <w:t xml:space="preserve">semantic</w:t>
      </w:r>
      <w:r>
        <w:t xml:space="preserve"> models — plus glossary, data-quality contracts, and access policy.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Orchestrates the </w:t>
      </w:r>
      <w:r>
        <w:rPr>
          <w:b/>
          <w:bCs/>
        </w:rPr>
        <w:t xml:space="preserve">metadata-driven medallion pipeline</w:t>
      </w:r>
      <w:r>
        <w:t xml:space="preserve"> (bronze → silver → gold)</w:t>
      </w:r>
    </w:p>
    <w:p>
      <w:pPr>
        <w:spacing w:after="80"/>
      </w:pPr>
      <w:r>
        <w:t xml:space="preserve">generated from those models.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Enforces </w:t>
      </w:r>
      <w:r>
        <w:rPr>
          <w:b/>
          <w:bCs/>
        </w:rPr>
        <w:t xml:space="preserve">governed change</w:t>
      </w:r>
      <w:r>
        <w:t xml:space="preserve"> — versioning, maker/checker approval, segregation of</w:t>
      </w:r>
    </w:p>
    <w:p>
      <w:pPr>
        <w:spacing w:after="80"/>
      </w:pPr>
      <w:r>
        <w:t xml:space="preserve">duties, and an immutable audit trail.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</w:rPr>
        <w:t xml:space="preserve">Publishes</w:t>
      </w:r>
      <w:r>
        <w:t xml:space="preserve"> documentation and machine-readable contracts so people and</w:t>
      </w:r>
    </w:p>
    <w:p>
      <w:pPr>
        <w:spacing w:after="80"/>
      </w:pPr>
      <w:r>
        <w:t xml:space="preserve">applications can produce to and consume from the end-to-end stack.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Enforces </w:t>
      </w:r>
      <w:r>
        <w:rPr>
          <w:b/>
          <w:bCs/>
        </w:rPr>
        <w:t xml:space="preserve">classification</w:t>
      </w:r>
      <w:r>
        <w:t xml:space="preserve"> (sensitivity tier + PII + MNPI) at the attribute level</w:t>
      </w:r>
    </w:p>
    <w:p>
      <w:pPr>
        <w:spacing w:after="80"/>
      </w:pPr>
      <w:r>
        <w:t xml:space="preserve">across pipeline, warehouse, semantic layer, and API.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Maintains </w:t>
      </w:r>
      <w:r>
        <w:rPr>
          <w:b/>
          <w:bCs/>
        </w:rPr>
        <w:t xml:space="preserve">column-level lineage</w:t>
      </w:r>
      <w:r>
        <w:t xml:space="preserve"> and two-way </w:t>
      </w:r>
      <w:r>
        <w:rPr>
          <w:b/>
          <w:bCs/>
        </w:rPr>
        <w:t xml:space="preserve">Unity Catalog</w:t>
      </w:r>
      <w:r>
        <w:t xml:space="preserve"> synchronization.</w:t>
      </w:r>
    </w:p>
    <w:p>
      <w:pPr>
        <w:pStyle w:val="Heading3"/>
        <w:spacing w:after="60" w:before="160"/>
      </w:pPr>
      <w:r>
        <w:rPr>
          <w:b/>
          <w:bCs/>
          <w:color w:val="0D1B2A"/>
        </w:rPr>
        <w:t xml:space="preserve">Out of scope (v1)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DCT is </w:t>
      </w:r>
      <w:r>
        <w:rPr>
          <w:b/>
          <w:bCs/>
        </w:rPr>
        <w:t xml:space="preserve">not</w:t>
      </w:r>
      <w:r>
        <w:t xml:space="preserve"> a data-processing engine (it orchestrates Databricks; it does not</w:t>
      </w:r>
    </w:p>
    <w:p>
      <w:pPr>
        <w:spacing w:after="80"/>
      </w:pPr>
      <w:r>
        <w:t xml:space="preserve">move/transform data itself).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DCT is </w:t>
      </w:r>
      <w:r>
        <w:rPr>
          <w:b/>
          <w:bCs/>
        </w:rPr>
        <w:t xml:space="preserve">not</w:t>
      </w:r>
      <w:r>
        <w:t xml:space="preserve"> a BI/visualization tool (it publishes governed semantic models that</w:t>
      </w:r>
    </w:p>
    <w:p>
      <w:pPr>
        <w:spacing w:after="80"/>
      </w:pPr>
      <w:r>
        <w:t xml:space="preserve">BI consumes).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DCT does </w:t>
      </w:r>
      <w:r>
        <w:rPr>
          <w:b/>
          <w:bCs/>
        </w:rPr>
        <w:t xml:space="preserve">not</w:t>
      </w:r>
      <w:r>
        <w:t xml:space="preserve"> replace Unity Catalog's storage/compute governance (it is a</w:t>
      </w:r>
    </w:p>
    <w:p>
      <w:pPr>
        <w:spacing w:after="80"/>
      </w:pPr>
      <w:r>
        <w:t xml:space="preserve">control plane *above* UC and syncs with it).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DCT is </w:t>
      </w:r>
      <w:r>
        <w:rPr>
          <w:b/>
          <w:bCs/>
        </w:rPr>
        <w:t xml:space="preserve">not</w:t>
      </w:r>
      <w:r>
        <w:t xml:space="preserve"> an MDM / entity-resolution system.</w:t>
      </w:r>
    </w:p>
    <w:p>
      <w:pPr>
        <w:pStyle w:val="Heading2"/>
        <w:spacing w:after="80" w:before="220"/>
      </w:pPr>
      <w:r>
        <w:rPr>
          <w:b/>
          <w:bCs/>
          <w:color w:val="15756B"/>
        </w:rPr>
        <w:t xml:space="preserve">1.3 Stakeholders &amp; user classes</w:t>
      </w:r>
    </w:p>
    <w:tbl>
      <w:tblPr>
        <w:tblW w:type="pct" w:w="100%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Class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Key needs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Data Modeler / Engineer (maker)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Authors &amp; evolves models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author, validate, simulate, propose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Data Steward (checker)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Reviews &amp; approves changes; owns a domain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review, approve, manage classification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Domain Owner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Federated owner of a domain's models &amp; products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ownership, SLAs, retire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Platform Engineer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Generates &amp; operates pipelines, environments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deploy, monitor, connectors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Data Governance / Compliance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Audit, SoD, classification authority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audit, evidence, policy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Consumer (analyst / app dev / data scientist)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Discovers &amp; binds to data products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discover, consume, understand sensitivity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Administrator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Tenancy, identity, configuration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roles, IdP, retention, config</w:t>
            </w:r>
          </w:p>
        </w:tc>
      </w:tr>
    </w:tbl>
    <w:p>
      <w:pPr>
        <w:spacing w:after="120"/>
      </w:pPr>
    </w:p>
    <w:p>
      <w:pPr>
        <w:pStyle w:val="Heading2"/>
        <w:spacing w:after="80" w:before="220"/>
      </w:pPr>
      <w:r>
        <w:rPr>
          <w:b/>
          <w:bCs/>
          <w:color w:val="15756B"/>
        </w:rPr>
        <w:t xml:space="preserve">1.4 Definitions</w:t>
      </w:r>
    </w:p>
    <w:tbl>
      <w:tblPr>
        <w:tblW w:type="pct" w:w="100%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BDM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Business Data Model — versioned business entity, sourced upstream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PDM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Physical Data Model — physical binding of a BDM (table, load, partitioning, key)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Semantic model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Governed consumption model (dimensions + measures over the curated layer)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Data product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Published, consumable bundle (schema + classification + lineage + access + docs)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Control surface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structural fingerprint a model is versioned against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Medallion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Bronze (raw) → Silver (conformed) → Gold (curated) layering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Classification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Sensitivity tier (public/internal/confidential/restricted) + PII / MNPI tags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Maker/Checker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Segregation of duties — the author of a change cannot approve it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Projection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query-optimized read-model materialized from the Git system of record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Domain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federated ownership area (data-mesh sense)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UC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Databricks Unity Catalog</w:t>
            </w:r>
          </w:p>
        </w:tc>
      </w:tr>
    </w:tbl>
    <w:p>
      <w:pPr>
        <w:spacing w:after="120"/>
      </w:pPr>
    </w:p>
    <w:p>
      <w:pPr>
        <w:pStyle w:val="Heading2"/>
        <w:spacing w:after="80" w:before="220"/>
      </w:pPr>
      <w:r>
        <w:rPr>
          <w:b/>
          <w:bCs/>
          <w:color w:val="15756B"/>
        </w:rPr>
        <w:t xml:space="preserve">1.5 References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Platform technical design: [</w:t>
      </w:r>
      <w:r>
        <w:rPr>
          <w:rFonts w:ascii="Consolas" w:cs="Consolas" w:eastAsia="Consolas" w:hAnsi="Consolas"/>
        </w:rPr>
        <w:t xml:space="preserve">../platform/</w:t>
      </w:r>
      <w:r>
        <w:t xml:space="preserve">](../platform/README.md) (00–11)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Build/project plan: [</w:t>
      </w:r>
      <w:r>
        <w:rPr>
          <w:rFonts w:ascii="Consolas" w:cs="Consolas" w:eastAsia="Consolas" w:hAnsi="Consolas"/>
        </w:rPr>
        <w:t xml:space="preserve">../project-plan/PROJECT-PLAN.md</w:t>
      </w:r>
      <w:r>
        <w:t xml:space="preserve">](../project-plan/PROJECT-PLAN.md)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Delivery backlog: [</w:t>
      </w:r>
      <w:r>
        <w:rPr>
          <w:rFonts w:ascii="Consolas" w:cs="Consolas" w:eastAsia="Consolas" w:hAnsi="Consolas"/>
        </w:rPr>
        <w:t xml:space="preserve">../delivery/jira-stories.md</w:t>
      </w:r>
      <w:r>
        <w:t xml:space="preserve">](../delivery/jira-stories.md)</w:t>
      </w:r>
    </w:p>
    <w:p>
      <w:pPr>
        <w:pStyle w:val="Heading2"/>
        <w:spacing w:after="80" w:before="220"/>
      </w:pPr>
      <w:r>
        <w:rPr>
          <w:b/>
          <w:bCs/>
          <w:color w:val="15756B"/>
        </w:rPr>
        <w:t xml:space="preserve">1.6 Assumptions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 Git provider (GitLab) is available to host the </w:t>
      </w:r>
      <w:r>
        <w:rPr>
          <w:b/>
          <w:bCs/>
        </w:rPr>
        <w:t xml:space="preserve">models repository</w:t>
      </w:r>
      <w:r>
        <w:t xml:space="preserve"> (the</w:t>
      </w:r>
    </w:p>
    <w:p>
      <w:pPr>
        <w:spacing w:after="80"/>
      </w:pPr>
      <w:r>
        <w:t xml:space="preserve">system of record), with branch protection and merge-request APIs.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 Databricks workspace with Unity Catalog is available for orchestration and</w:t>
      </w:r>
    </w:p>
    <w:p>
      <w:pPr>
        <w:spacing w:after="80"/>
      </w:pPr>
      <w:r>
        <w:t xml:space="preserve">catalog sync (per environment: dev/staging/prod).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 corporate IdP (OIDC/SAML) provides identity; group membership drives roles.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 managed PostgreSQL instance is available for the projection/operational store.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 secrets manager is available for credentials.</w:t>
      </w:r>
    </w:p>
    <w:p>
      <w:pPr>
        <w:pStyle w:val="Heading2"/>
        <w:spacing w:after="80" w:before="220"/>
      </w:pPr>
      <w:r>
        <w:rPr>
          <w:b/>
          <w:bCs/>
          <w:color w:val="15756B"/>
        </w:rPr>
        <w:t xml:space="preserve">1.7 Constraints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</w:rPr>
        <w:t xml:space="preserve">Zero proprietary content</w:t>
      </w:r>
      <w:r>
        <w:t xml:space="preserve"> in the open framework: generic, illustrative model</w:t>
      </w:r>
    </w:p>
    <w:p>
      <w:pPr>
        <w:spacing w:after="80"/>
      </w:pPr>
      <w:r>
        <w:t xml:space="preserve">content only; no real schemas, data, or employer-specific names in the codebase.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</w:rPr>
        <w:t xml:space="preserve">Portability:</w:t>
      </w:r>
      <w:r>
        <w:t xml:space="preserve"> the platform runs as a standalone container (also packageable as</w:t>
      </w:r>
    </w:p>
    <w:p>
      <w:pPr>
        <w:spacing w:after="80"/>
      </w:pPr>
      <w:r>
        <w:t xml:space="preserve">a Databricks App); no hard dependency on a single cloud.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</w:rPr>
        <w:t xml:space="preserve">Minimal intervention:</w:t>
      </w:r>
      <w:r>
        <w:t xml:space="preserve"> clone → configure a small set of values → one command to</w:t>
      </w:r>
    </w:p>
    <w:p>
      <w:pPr>
        <w:spacing w:after="80"/>
      </w:pPr>
      <w:r>
        <w:t xml:space="preserve">run, with automated migrations and bootstrap.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</w:rPr>
        <w:t xml:space="preserve">Open standards:</w:t>
      </w:r>
      <w:r>
        <w:t xml:space="preserve"> OpenLineage, JSON Schema, OpenAPI, JSON-LD, OIDC/SAML/SCIM.</w:t>
      </w:r>
    </w:p>
    <w:p>
      <w:pPr>
        <w:pStyle w:val="Heading2"/>
        <w:spacing w:after="80" w:before="220"/>
      </w:pPr>
      <w:r>
        <w:rPr>
          <w:b/>
          <w:bCs/>
          <w:color w:val="15756B"/>
        </w:rPr>
        <w:t xml:space="preserve">1.8 Acceptance &amp; sign-off</w:t>
      </w:r>
    </w:p>
    <w:p>
      <w:pPr>
        <w:spacing w:after="80"/>
      </w:pPr>
      <w:r>
        <w:t xml:space="preserve">Each requirement carries testable acceptance criteria. A requirement is accepted</w:t>
      </w:r>
    </w:p>
    <w:p>
      <w:pPr>
        <w:spacing w:after="80"/>
      </w:pPr>
      <w:r>
        <w:t xml:space="preserve">when its criteria are demonstrated in a running environment (automated test, API</w:t>
      </w:r>
    </w:p>
    <w:p>
      <w:pPr>
        <w:spacing w:after="80"/>
      </w:pPr>
      <w:r>
        <w:t xml:space="preserve">response, UI behaviour, or generated artifact). Phase-level acceptance is defined</w:t>
      </w:r>
    </w:p>
    <w:p>
      <w:pPr>
        <w:spacing w:after="80"/>
      </w:pPr>
      <w:r>
        <w:t xml:space="preserve">in the project plan; release sign-off requires all </w:t>
      </w:r>
      <w:r>
        <w:rPr>
          <w:b/>
          <w:bCs/>
        </w:rPr>
        <w:t xml:space="preserve">Must</w:t>
      </w:r>
      <w:r>
        <w:t xml:space="preserve"> requirements met and</w:t>
      </w:r>
    </w:p>
    <w:p>
      <w:pPr>
        <w:spacing w:after="80"/>
      </w:pPr>
      <w:r>
        <w:t xml:space="preserve">no open Sev-1/Sev-2 defects.</w:t>
      </w:r>
    </w:p>
    <w:p>
      <w:pPr>
        <w:pStyle w:val="Heading1"/>
        <w:pageBreakBefore/>
        <w:spacing w:after="120"/>
      </w:pPr>
      <w:r>
        <w:rPr>
          <w:b/>
          <w:bCs/>
          <w:color w:val="0D1B2A"/>
        </w:rPr>
        <w:t xml:space="preserve">2. Functional Requirements</w:t>
      </w:r>
    </w:p>
    <w:p>
      <w:pPr>
        <w:spacing w:after="80"/>
      </w:pPr>
      <w:r>
        <w:t xml:space="preserve">Normative keywords per RFC 2119. Priority: </w:t>
      </w:r>
      <w:r>
        <w:rPr>
          <w:b/>
          <w:bCs/>
        </w:rPr>
        <w:t xml:space="preserve">M</w:t>
      </w:r>
      <w:r>
        <w:t xml:space="preserve">ust / </w:t>
      </w:r>
      <w:r>
        <w:rPr>
          <w:b/>
          <w:bCs/>
        </w:rPr>
        <w:t xml:space="preserve">S</w:t>
      </w:r>
      <w:r>
        <w:t xml:space="preserve">hould / </w:t>
      </w:r>
      <w:r>
        <w:rPr>
          <w:b/>
          <w:bCs/>
        </w:rPr>
        <w:t xml:space="preserve">C</w:t>
      </w:r>
      <w:r>
        <w:t xml:space="preserve">ould / </w:t>
      </w:r>
      <w:r>
        <w:rPr>
          <w:b/>
          <w:bCs/>
        </w:rPr>
        <w:t xml:space="preserve">W</w:t>
      </w:r>
      <w:r>
        <w:t xml:space="preserve">on't-yet.</w:t>
      </w:r>
    </w:p>
    <w:p>
      <w:pPr>
        <w:pStyle w:val="Heading2"/>
        <w:spacing w:after="80" w:before="220"/>
      </w:pPr>
      <w:r>
        <w:rPr>
          <w:b/>
          <w:bCs/>
          <w:color w:val="15756B"/>
        </w:rPr>
        <w:t xml:space="preserve">2.1 Model Management (FR-MM)</w:t>
      </w:r>
    </w:p>
    <w:tbl>
      <w:tblPr>
        <w:tblW w:type="pct" w:w="100%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FR-MM-001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support authoring of </w:t>
            </w:r>
            <w:r>
              <w:rPr>
                <w:b/>
                <w:bCs/>
                <w:color w:val="0D1B2A"/>
              </w:rPr>
              <w:t xml:space="preserve">BDM, PDM, and semantic</w:t>
            </w:r>
            <w:r>
              <w:rPr>
                <w:color w:val="0D1B2A"/>
              </w:rPr>
              <w:t xml:space="preserve"> models as structured definitions (YAML), each carrying a model envelope: id, kind, version, status, owner, domain, description, tags.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model of each kind can be created; the envelope fields persist and are retrievable.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FR-MM-002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Each model SHALL be </w:t>
            </w:r>
            <w:r>
              <w:rPr>
                <w:b/>
                <w:bCs/>
                <w:color w:val="0D1B2A"/>
              </w:rPr>
              <w:t xml:space="preserve">independently semantically versioned</w:t>
            </w:r>
            <w:r>
              <w:rPr>
                <w:color w:val="0D1B2A"/>
              </w:rPr>
              <w:t xml:space="preserve"> (</w:t>
            </w:r>
            <w:r>
              <w:rPr>
                <w:rFonts w:ascii="Consolas" w:cs="Consolas" w:eastAsia="Consolas" w:hAnsi="Consolas"/>
                <w:color w:val="0D1B2A"/>
              </w:rPr>
              <w:t xml:space="preserve">MAJOR.MINOR.PATCH</w:t>
            </w:r>
            <w:r>
              <w:rPr>
                <w:color w:val="0D1B2A"/>
              </w:rPr>
              <w:t xml:space="preserve">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Two models can hold different versions; version is shown in registry/API.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FR-MM-003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</w:t>
            </w:r>
            <w:r>
              <w:rPr>
                <w:b/>
                <w:bCs/>
                <w:color w:val="0D1B2A"/>
              </w:rPr>
              <w:t xml:space="preserve">validate</w:t>
            </w:r>
            <w:r>
              <w:rPr>
                <w:color w:val="0D1B2A"/>
              </w:rPr>
              <w:t xml:space="preserve"> a model against the contract schema, reporting field-level errors (missing classification, invalid type, unknown reference).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Invalid model returns specific, line/field-level errors; valid model passes.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FR-MM-004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enforce </w:t>
            </w:r>
            <w:r>
              <w:rPr>
                <w:b/>
                <w:bCs/>
                <w:color w:val="0D1B2A"/>
              </w:rPr>
              <w:t xml:space="preserve">referential integrity</w:t>
            </w:r>
            <w:r>
              <w:rPr>
                <w:color w:val="0D1B2A"/>
              </w:rPr>
              <w:t xml:space="preserve">: FKs resolve to an existing entity+field; PDM→BDM and semantic dimension/measure/source references resolve.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dangling reference fails validation with a clear message.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FR-MM-005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require a </w:t>
            </w:r>
            <w:r>
              <w:rPr>
                <w:b/>
                <w:bCs/>
                <w:color w:val="0D1B2A"/>
              </w:rPr>
              <w:t xml:space="preserve">classification</w:t>
            </w:r>
            <w:r>
              <w:rPr>
                <w:color w:val="0D1B2A"/>
              </w:rPr>
              <w:t xml:space="preserve"> on every field; no permissive default is allowed.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field with no classification fails validation.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FR-MM-006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compute a model's </w:t>
            </w:r>
            <w:r>
              <w:rPr>
                <w:b/>
                <w:bCs/>
                <w:color w:val="0D1B2A"/>
              </w:rPr>
              <w:t xml:space="preserve">control surface</w:t>
            </w:r>
            <w:r>
              <w:rPr>
                <w:color w:val="0D1B2A"/>
              </w:rPr>
              <w:t xml:space="preserve"> and classify a proposed change as none/patch/minor/major (breaking).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Changing a field type is reported as major; adding a field as minor; a description-only edit as patch.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FR-MM-007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</w:t>
            </w:r>
            <w:r>
              <w:rPr>
                <w:b/>
                <w:bCs/>
                <w:color w:val="0D1B2A"/>
              </w:rPr>
              <w:t xml:space="preserve">simulate</w:t>
            </w:r>
            <w:r>
              <w:rPr>
                <w:color w:val="0D1B2A"/>
              </w:rPr>
              <w:t xml:space="preserve"> a proposed change, returning the required version bump, downstream impact, and a preview of generated artifacts, without committing.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Simulate returns impact + required bump for a sample edit; no state change occurs.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FR-MM-008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support a </w:t>
            </w:r>
            <w:r>
              <w:rPr>
                <w:b/>
                <w:bCs/>
                <w:color w:val="0D1B2A"/>
              </w:rPr>
              <w:t xml:space="preserve">business glossary</w:t>
            </w:r>
            <w:r>
              <w:rPr>
                <w:color w:val="0D1B2A"/>
              </w:rPr>
              <w:t xml:space="preserve"> of terms linkable to model fields.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term can be created and linked; the link is visible on the field.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FR-MM-009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support </w:t>
            </w:r>
            <w:r>
              <w:rPr>
                <w:b/>
                <w:bCs/>
                <w:color w:val="0D1B2A"/>
              </w:rPr>
              <w:t xml:space="preserve">data-quality (DQ) contracts</w:t>
            </w:r>
            <w:r>
              <w:rPr>
                <w:color w:val="0D1B2A"/>
              </w:rPr>
              <w:t xml:space="preserve"> on a model (nullability, ranges, referential, freshness, volume).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DQ contract validates and is associated with its model.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FR-MM-010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support model </w:t>
            </w:r>
            <w:r>
              <w:rPr>
                <w:b/>
                <w:bCs/>
                <w:color w:val="0D1B2A"/>
              </w:rPr>
              <w:t xml:space="preserve">lifecycle states</w:t>
            </w:r>
            <w:r>
              <w:rPr>
                <w:color w:val="0D1B2A"/>
              </w:rPr>
              <w:t xml:space="preserve">: draft → active → deprecated (with sunset date) → retired.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State transitions are enforced; an invalid transition is rejected.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FR-MM-011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block </w:t>
            </w:r>
            <w:r>
              <w:rPr>
                <w:b/>
                <w:bCs/>
                <w:color w:val="0D1B2A"/>
              </w:rPr>
              <w:t xml:space="preserve">retiring</w:t>
            </w:r>
            <w:r>
              <w:rPr>
                <w:color w:val="0D1B2A"/>
              </w:rPr>
              <w:t xml:space="preserve"> a model that still has active consumers/dependents.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Retire is rejected with the list of dependents until they migrate.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FR-MM-012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maintain a queryable </w:t>
            </w:r>
            <w:r>
              <w:rPr>
                <w:b/>
                <w:bCs/>
                <w:color w:val="0D1B2A"/>
              </w:rPr>
              <w:t xml:space="preserve">version history</w:t>
            </w:r>
            <w:r>
              <w:rPr>
                <w:color w:val="0D1B2A"/>
              </w:rPr>
              <w:t xml:space="preserve"> per model.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Prior versions and their change kind are retrievable.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FR-MM-013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support </w:t>
            </w:r>
            <w:r>
              <w:rPr>
                <w:b/>
                <w:bCs/>
                <w:color w:val="0D1B2A"/>
              </w:rPr>
              <w:t xml:space="preserve">data products</w:t>
            </w:r>
            <w:r>
              <w:rPr>
                <w:color w:val="0D1B2A"/>
              </w:rPr>
              <w:t xml:space="preserve"> that compose pinned model versions and expose SLA, access default, and endpoints.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data product references models at version ranges and is published.</w:t>
            </w:r>
          </w:p>
        </w:tc>
      </w:tr>
    </w:tbl>
    <w:p>
      <w:pPr>
        <w:spacing w:after="120"/>
      </w:pPr>
    </w:p>
    <w:p>
      <w:pPr>
        <w:pStyle w:val="Heading2"/>
        <w:spacing w:after="80" w:before="220"/>
      </w:pPr>
      <w:r>
        <w:rPr>
          <w:b/>
          <w:bCs/>
          <w:color w:val="15756B"/>
        </w:rPr>
        <w:t xml:space="preserve">2.2 Governance &amp; Workflow (FR-GV)</w:t>
      </w:r>
    </w:p>
    <w:tbl>
      <w:tblPr>
        <w:tblW w:type="pct" w:w="100%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FR-GV-001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All model changes SHALL flow through a </w:t>
            </w:r>
            <w:r>
              <w:rPr>
                <w:b/>
                <w:bCs/>
                <w:color w:val="0D1B2A"/>
              </w:rPr>
              <w:t xml:space="preserve">ChangeSet</w:t>
            </w:r>
            <w:r>
              <w:rPr>
                <w:color w:val="0D1B2A"/>
              </w:rPr>
              <w:t xml:space="preserve"> (proposal) that records author, edits, diff, impact, gate results, and approvals.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ChangeSet is created on propose and exposes all listed fields.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FR-GV-002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run </w:t>
            </w:r>
            <w:r>
              <w:rPr>
                <w:b/>
                <w:bCs/>
                <w:color w:val="0D1B2A"/>
              </w:rPr>
              <w:t xml:space="preserve">automated gates</w:t>
            </w:r>
            <w:r>
              <w:rPr>
                <w:color w:val="0D1B2A"/>
              </w:rPr>
              <w:t xml:space="preserve"> on every ChangeSet: schema validity, referential integrity, classification coverage, semver governance, propagation completeness.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Each gate returns pass/fail with detail; approval is blocked while any required gate fails.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FR-GV-003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enforce </w:t>
            </w:r>
            <w:r>
              <w:rPr>
                <w:b/>
                <w:bCs/>
                <w:color w:val="0D1B2A"/>
              </w:rPr>
              <w:t xml:space="preserve">semantic-versioning governance</w:t>
            </w:r>
            <w:r>
              <w:rPr>
                <w:color w:val="0D1B2A"/>
              </w:rPr>
              <w:t xml:space="preserve">: a content change must be matched by an adequate version bump; a version decrease is rejected.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breaking change with an insufficient bump fails with the required next version.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FR-GV-004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enforce </w:t>
            </w:r>
            <w:r>
              <w:rPr>
                <w:b/>
                <w:bCs/>
                <w:color w:val="0D1B2A"/>
              </w:rPr>
              <w:t xml:space="preserve">maker/checker</w:t>
            </w:r>
            <w:r>
              <w:rPr>
                <w:color w:val="0D1B2A"/>
              </w:rPr>
              <w:t xml:space="preserve">: the author of a ChangeSet SHALL NOT approve or merge it (segregation of duties).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Self-approval and self-merge are rejected (HTTP 403).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FR-GV-005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enforce </w:t>
            </w:r>
            <w:r>
              <w:rPr>
                <w:b/>
                <w:bCs/>
                <w:color w:val="0D1B2A"/>
              </w:rPr>
              <w:t xml:space="preserve">risk-based quorum</w:t>
            </w:r>
            <w:r>
              <w:rPr>
                <w:color w:val="0D1B2A"/>
              </w:rPr>
              <w:t xml:space="preserve">: a breaking (major) change requires ≥2 approvals including the domain owner; minor/patch require ≥1 steward approval.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Quorum thresholds are enforced before a ChangeSet becomes approved.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FR-GV-006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Any change that </w:t>
            </w:r>
            <w:r>
              <w:rPr>
                <w:b/>
                <w:bCs/>
                <w:color w:val="0D1B2A"/>
              </w:rPr>
              <w:t xml:space="preserve">adds/removes PII or MNPI</w:t>
            </w:r>
            <w:r>
              <w:rPr>
                <w:color w:val="0D1B2A"/>
              </w:rPr>
              <w:t xml:space="preserve">, loosens classification, or modifies the access policy SHALL require an additional </w:t>
            </w:r>
            <w:r>
              <w:rPr>
                <w:b/>
                <w:bCs/>
                <w:color w:val="0D1B2A"/>
              </w:rPr>
              <w:t xml:space="preserve">governance</w:t>
            </w:r>
            <w:r>
              <w:rPr>
                <w:color w:val="0D1B2A"/>
              </w:rPr>
              <w:t xml:space="preserve"> approval.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Such a change is not approvable without a governance-role approval.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FR-GV-007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provide a </w:t>
            </w:r>
            <w:r>
              <w:rPr>
                <w:b/>
                <w:bCs/>
                <w:color w:val="0D1B2A"/>
              </w:rPr>
              <w:t xml:space="preserve">maker/checker review</w:t>
            </w:r>
            <w:r>
              <w:rPr>
                <w:color w:val="0D1B2A"/>
              </w:rPr>
              <w:t xml:space="preserve"> surface showing a side-by-side diff, classification deltas, impact tree, and gate status.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review surface renders all listed elements for a ChangeSet.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FR-GV-008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On merge, the system SHALL </w:t>
            </w:r>
            <w:r>
              <w:rPr>
                <w:b/>
                <w:bCs/>
                <w:color w:val="0D1B2A"/>
              </w:rPr>
              <w:t xml:space="preserve">re-register</w:t>
            </w:r>
            <w:r>
              <w:rPr>
                <w:color w:val="0D1B2A"/>
              </w:rPr>
              <w:t xml:space="preserve"> the version baseline (lock), regenerate artifacts, and reconcile the projection.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After merge, the registry reflects the new version and generated artifacts update.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FR-GV-009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maintain an </w:t>
            </w:r>
            <w:r>
              <w:rPr>
                <w:b/>
                <w:bCs/>
                <w:color w:val="0D1B2A"/>
              </w:rPr>
              <w:t xml:space="preserve">append-only, hash-chained audit log</w:t>
            </w:r>
            <w:r>
              <w:rPr>
                <w:color w:val="0D1B2A"/>
              </w:rPr>
              <w:t xml:space="preserve"> of every state-changing action (propose, gate, approve/reject, merge, register, deploy, policy/role change, break-glass).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Each action emits an audit event; the chain verifies; tampering is detectable.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FR-GV-010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support </w:t>
            </w:r>
            <w:r>
              <w:rPr>
                <w:b/>
                <w:bCs/>
                <w:color w:val="0D1B2A"/>
              </w:rPr>
              <w:t xml:space="preserve">break-glass</w:t>
            </w:r>
            <w:r>
              <w:rPr>
                <w:color w:val="0D1B2A"/>
              </w:rPr>
              <w:t xml:space="preserve"> emergency change requiring dual administrator authorization, a written reason, and a time-box, raising a high-severity audit event and alert.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break-glass action is recorded distinctly and alerts; single-admin attempts fail.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FR-GV-011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Governance SHALL hold for changes made </w:t>
            </w:r>
            <w:r>
              <w:rPr>
                <w:b/>
                <w:bCs/>
                <w:color w:val="0D1B2A"/>
              </w:rPr>
              <w:t xml:space="preserve">directly in Git</w:t>
            </w:r>
            <w:r>
              <w:rPr>
                <w:color w:val="0D1B2A"/>
              </w:rPr>
              <w:t xml:space="preserve"> (not only via the UI).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direct merge request runs the same gates (CI) and is gated.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FR-GV-012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compute </w:t>
            </w:r>
            <w:r>
              <w:rPr>
                <w:b/>
                <w:bCs/>
                <w:color w:val="0D1B2A"/>
              </w:rPr>
              <w:t xml:space="preserve">impact analysis</w:t>
            </w:r>
            <w:r>
              <w:rPr>
                <w:color w:val="0D1B2A"/>
              </w:rPr>
              <w:t xml:space="preserve"> (downstream models, products, subscribers, pipelines) and require acknowledgement for breaking changes with active subscribers.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Impact is shown; a breaking change requires explicit acknowledgement to proceed.</w:t>
            </w:r>
          </w:p>
        </w:tc>
      </w:tr>
    </w:tbl>
    <w:p>
      <w:pPr>
        <w:spacing w:after="120"/>
      </w:pPr>
    </w:p>
    <w:p>
      <w:pPr>
        <w:pStyle w:val="Heading2"/>
        <w:spacing w:after="80" w:before="220"/>
      </w:pPr>
      <w:r>
        <w:rPr>
          <w:b/>
          <w:bCs/>
          <w:color w:val="15756B"/>
        </w:rPr>
        <w:t xml:space="preserve">2.3 Pipeline Orchestration (FR-OR)</w:t>
      </w:r>
    </w:p>
    <w:tbl>
      <w:tblPr>
        <w:tblW w:type="pct" w:w="100%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FR-OR-001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</w:t>
            </w:r>
            <w:r>
              <w:rPr>
                <w:b/>
                <w:bCs/>
                <w:color w:val="0D1B2A"/>
              </w:rPr>
              <w:t xml:space="preserve">generate</w:t>
            </w:r>
            <w:r>
              <w:rPr>
                <w:color w:val="0D1B2A"/>
              </w:rPr>
              <w:t xml:space="preserve"> medallion pipeline assets (bronze→silver→gold) from the models.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Editing a model regenerates the corresponding pipeline assets.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FR-OR-002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Orchestration SHALL be </w:t>
            </w:r>
            <w:r>
              <w:rPr>
                <w:b/>
                <w:bCs/>
                <w:color w:val="0D1B2A"/>
              </w:rPr>
              <w:t xml:space="preserve">engine-pluggable</w:t>
            </w:r>
            <w:r>
              <w:rPr>
                <w:color w:val="0D1B2A"/>
              </w:rPr>
              <w:t xml:space="preserve"> via an adapter; a Databricks (Workflows + DLT) implementation and a local in-process implementation SHALL be provided.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same pipeline runs via the local adapter; the Databricks adapter targets a workspace.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FR-OR-003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</w:t>
            </w:r>
            <w:r>
              <w:rPr>
                <w:b/>
                <w:bCs/>
                <w:color w:val="0D1B2A"/>
              </w:rPr>
              <w:t xml:space="preserve">deploy</w:t>
            </w:r>
            <w:r>
              <w:rPr>
                <w:color w:val="0D1B2A"/>
              </w:rPr>
              <w:t xml:space="preserve"> generated pipelines to an environment (dev/staging/prod) idempotently.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Re-deploying an unchanged pipeline is a no-op; changes are applied in place.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FR-OR-004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</w:t>
            </w:r>
            <w:r>
              <w:rPr>
                <w:b/>
                <w:bCs/>
                <w:color w:val="0D1B2A"/>
              </w:rPr>
              <w:t xml:space="preserve">trigger</w:t>
            </w:r>
            <w:r>
              <w:rPr>
                <w:color w:val="0D1B2A"/>
              </w:rPr>
              <w:t xml:space="preserve"> a pipeline run (on-demand, scheduled by source cadence, or on-merge).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triggered run executes and produces a tracked run record.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FR-OR-005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</w:t>
            </w:r>
            <w:r>
              <w:rPr>
                <w:b/>
                <w:bCs/>
                <w:color w:val="0D1B2A"/>
              </w:rPr>
              <w:t xml:space="preserve">track runs</w:t>
            </w:r>
            <w:r>
              <w:rPr>
                <w:color w:val="0D1B2A"/>
              </w:rPr>
              <w:t xml:space="preserve"> with status and metrics (rows in/out per layer, duration, DQ pass/fail, freshness).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completed run exposes status + metrics via API and UI.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FR-OR-006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generate </w:t>
            </w:r>
            <w:r>
              <w:rPr>
                <w:b/>
                <w:bCs/>
                <w:color w:val="0D1B2A"/>
              </w:rPr>
              <w:t xml:space="preserve">DQ expectations</w:t>
            </w:r>
            <w:r>
              <w:rPr>
                <w:color w:val="0D1B2A"/>
              </w:rPr>
              <w:t xml:space="preserve"> from DQ contracts and surface results on runs.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DQ contract produces expectations; pass/fail counts appear on the run.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FR-OR-007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Production deploys SHALL require </w:t>
            </w:r>
            <w:r>
              <w:rPr>
                <w:b/>
                <w:bCs/>
                <w:color w:val="0D1B2A"/>
              </w:rPr>
              <w:t xml:space="preserve">four-eyes</w:t>
            </w:r>
            <w:r>
              <w:rPr>
                <w:color w:val="0D1B2A"/>
              </w:rPr>
              <w:t xml:space="preserve"> (a distinct approver from the deployer).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prod deploy without a distinct approver is rejected.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FR-OR-008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support </w:t>
            </w:r>
            <w:r>
              <w:rPr>
                <w:b/>
                <w:bCs/>
                <w:color w:val="0D1B2A"/>
              </w:rPr>
              <w:t xml:space="preserve">environment promotion</w:t>
            </w:r>
            <w:r>
              <w:rPr>
                <w:color w:val="0D1B2A"/>
              </w:rPr>
              <w:t xml:space="preserve"> (dev→staging→prod) applying the same generated assets per target.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Promotion deploys identical assets to the next target with environment-specific config.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FR-OR-009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apply </w:t>
            </w:r>
            <w:r>
              <w:rPr>
                <w:b/>
                <w:bCs/>
                <w:color w:val="0D1B2A"/>
              </w:rPr>
              <w:t xml:space="preserve">retry, circuit-breaking, and alerting</w:t>
            </w:r>
            <w:r>
              <w:rPr>
                <w:color w:val="0D1B2A"/>
              </w:rPr>
              <w:t xml:space="preserve"> to failing runs/deploys.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Repeated failures are circuit-broken and alerted, not retried forever.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FR-OR-010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C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MAY support additional engines (Airflow, dbt) via the adapter.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second engine adapter implements the interface without core changes.</w:t>
            </w:r>
          </w:p>
        </w:tc>
      </w:tr>
    </w:tbl>
    <w:p>
      <w:pPr>
        <w:spacing w:after="120"/>
      </w:pPr>
    </w:p>
    <w:p>
      <w:pPr>
        <w:pStyle w:val="Heading2"/>
        <w:spacing w:after="80" w:before="220"/>
      </w:pPr>
      <w:r>
        <w:rPr>
          <w:b/>
          <w:bCs/>
          <w:color w:val="15756B"/>
        </w:rPr>
        <w:t xml:space="preserve">2.4 Lineage (FR-LN)</w:t>
      </w:r>
    </w:p>
    <w:tbl>
      <w:tblPr>
        <w:tblW w:type="pct" w:w="100%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FR-LN-001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build </w:t>
            </w:r>
            <w:r>
              <w:rPr>
                <w:b/>
                <w:bCs/>
                <w:color w:val="0D1B2A"/>
              </w:rPr>
              <w:t xml:space="preserve">column-level lineage</w:t>
            </w:r>
            <w:r>
              <w:rPr>
                <w:color w:val="0D1B2A"/>
              </w:rPr>
              <w:t xml:space="preserve"> (source → bronze → silver → gold.column → semantic → consumer) from the models.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Lineage for a field resolves the full medallion chain.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FR-LN-002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ingest </w:t>
            </w:r>
            <w:r>
              <w:rPr>
                <w:b/>
                <w:bCs/>
                <w:color w:val="0D1B2A"/>
              </w:rPr>
              <w:t xml:space="preserve">OpenLineage</w:t>
            </w:r>
            <w:r>
              <w:rPr>
                <w:color w:val="0D1B2A"/>
              </w:rPr>
              <w:t xml:space="preserve"> run events and reconcile them with the static graph (observed vs declared).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After a run, the relevant edges are marked observed.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FR-LN-003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support </w:t>
            </w:r>
            <w:r>
              <w:rPr>
                <w:b/>
                <w:bCs/>
                <w:color w:val="0D1B2A"/>
              </w:rPr>
              <w:t xml:space="preserve">upstream/downstream traversal</w:t>
            </w:r>
            <w:r>
              <w:rPr>
                <w:color w:val="0D1B2A"/>
              </w:rPr>
              <w:t xml:space="preserve"> with depth control.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Traversal returns the correct node set for a given URN and direction.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FR-LN-004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provide </w:t>
            </w:r>
            <w:r>
              <w:rPr>
                <w:b/>
                <w:bCs/>
                <w:color w:val="0D1B2A"/>
              </w:rPr>
              <w:t xml:space="preserve">impact analysis</w:t>
            </w:r>
            <w:r>
              <w:rPr>
                <w:color w:val="0D1B2A"/>
              </w:rPr>
              <w:t xml:space="preserve"> for a model/field (everything derived from it).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Impact returns downstream models, products, and consumers.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FR-LN-005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expose lineage in an </w:t>
            </w:r>
            <w:r>
              <w:rPr>
                <w:b/>
                <w:bCs/>
                <w:color w:val="0D1B2A"/>
              </w:rPr>
              <w:t xml:space="preserve">interactive explorer</w:t>
            </w:r>
            <w:r>
              <w:rPr>
                <w:color w:val="0D1B2A"/>
              </w:rPr>
              <w:t xml:space="preserve"> and as machine-readable OpenLineage.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UI renders the graph; the API returns OpenLineage-formatted lineage.</w:t>
            </w:r>
          </w:p>
        </w:tc>
      </w:tr>
    </w:tbl>
    <w:p>
      <w:pPr>
        <w:spacing w:after="120"/>
      </w:pPr>
    </w:p>
    <w:p>
      <w:pPr>
        <w:pStyle w:val="Heading2"/>
        <w:spacing w:after="80" w:before="220"/>
      </w:pPr>
      <w:r>
        <w:rPr>
          <w:b/>
          <w:bCs/>
          <w:color w:val="15756B"/>
        </w:rPr>
        <w:t xml:space="preserve">2.5 Catalog &amp; Publication (FR-CP)</w:t>
      </w:r>
    </w:p>
    <w:tbl>
      <w:tblPr>
        <w:tblW w:type="pct" w:w="100%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FR-CP-001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provide a </w:t>
            </w:r>
            <w:r>
              <w:rPr>
                <w:b/>
                <w:bCs/>
                <w:color w:val="0D1B2A"/>
              </w:rPr>
              <w:t xml:space="preserve">searchable catalog</w:t>
            </w:r>
            <w:r>
              <w:rPr>
                <w:color w:val="0D1B2A"/>
              </w:rPr>
              <w:t xml:space="preserve"> of models and data products with faceting (domain, kind, status, classification, PII/MNPI, owner, tag).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Search returns matching items filtered by the listed facets.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FR-CP-002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render a </w:t>
            </w:r>
            <w:r>
              <w:rPr>
                <w:b/>
                <w:bCs/>
                <w:color w:val="0D1B2A"/>
              </w:rPr>
              <w:t xml:space="preserve">model/product detail</w:t>
            </w:r>
            <w:r>
              <w:rPr>
                <w:color w:val="0D1B2A"/>
              </w:rPr>
              <w:t xml:space="preserve"> view (schema, classification, versions, lineage, owner, contracts).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Detail view shows all listed elements for any model.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FR-CP-003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publish </w:t>
            </w:r>
            <w:r>
              <w:rPr>
                <w:b/>
                <w:bCs/>
                <w:color w:val="0D1B2A"/>
              </w:rPr>
              <w:t xml:space="preserve">machine-readable contracts</w:t>
            </w:r>
            <w:r>
              <w:rPr>
                <w:color w:val="0D1B2A"/>
              </w:rPr>
              <w:t xml:space="preserve"> per model/product: JSON Schema, OpenAPI, JSON-LD, OpenLineage.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Each artifact is retrievable and valid against its standard.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FR-CP-004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publish a </w:t>
            </w:r>
            <w:r>
              <w:rPr>
                <w:b/>
                <w:bCs/>
                <w:color w:val="0D1B2A"/>
              </w:rPr>
              <w:t xml:space="preserve">capability descriptor</w:t>
            </w:r>
            <w:r>
              <w:rPr>
                <w:color w:val="0D1B2A"/>
              </w:rPr>
              <w:t xml:space="preserve"> at </w:t>
            </w:r>
            <w:r>
              <w:rPr>
                <w:rFonts w:ascii="Consolas" w:cs="Consolas" w:eastAsia="Consolas" w:hAnsi="Consolas"/>
                <w:color w:val="0D1B2A"/>
              </w:rPr>
              <w:t xml:space="preserve">/.well-known/dct.json</w:t>
            </w:r>
            <w:r>
              <w:rPr>
                <w:color w:val="0D1B2A"/>
              </w:rPr>
              <w:t xml:space="preserve"> (version, counts, capabilities, endpoints).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descriptor is retrievable and accurate.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FR-CP-005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show </w:t>
            </w:r>
            <w:r>
              <w:rPr>
                <w:b/>
                <w:bCs/>
                <w:color w:val="0D1B2A"/>
              </w:rPr>
              <w:t xml:space="preserve">data-product health</w:t>
            </w:r>
            <w:r>
              <w:rPr>
                <w:color w:val="0D1B2A"/>
              </w:rPr>
              <w:t xml:space="preserve"> (freshness vs SLA, DQ status) on product pages.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Health reflects the latest run; SLA breaches are visible.</w:t>
            </w:r>
          </w:p>
        </w:tc>
      </w:tr>
    </w:tbl>
    <w:p>
      <w:pPr>
        <w:spacing w:after="120"/>
      </w:pPr>
    </w:p>
    <w:p>
      <w:pPr>
        <w:pStyle w:val="Heading2"/>
        <w:spacing w:after="80" w:before="220"/>
      </w:pPr>
      <w:r>
        <w:rPr>
          <w:b/>
          <w:bCs/>
          <w:color w:val="15756B"/>
        </w:rPr>
        <w:t xml:space="preserve">2.6 Access Control &amp; Classification (FR-AX)</w:t>
      </w:r>
    </w:p>
    <w:tbl>
      <w:tblPr>
        <w:tblW w:type="pct" w:w="100%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FR-AX-001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support a sensitivity tier set (</w:t>
            </w:r>
            <w:r>
              <w:rPr>
                <w:b/>
                <w:bCs/>
                <w:color w:val="0D1B2A"/>
              </w:rPr>
              <w:t xml:space="preserve">public/internal/confidential/restricted</w:t>
            </w:r>
            <w:r>
              <w:rPr>
                <w:color w:val="0D1B2A"/>
              </w:rPr>
              <w:t xml:space="preserve">) and orthogonal </w:t>
            </w:r>
            <w:r>
              <w:rPr>
                <w:b/>
                <w:bCs/>
                <w:color w:val="0D1B2A"/>
              </w:rPr>
              <w:t xml:space="preserve">PII</w:t>
            </w:r>
            <w:r>
              <w:rPr>
                <w:color w:val="0D1B2A"/>
              </w:rPr>
              <w:t xml:space="preserve"> and </w:t>
            </w:r>
            <w:r>
              <w:rPr>
                <w:b/>
                <w:bCs/>
                <w:color w:val="0D1B2A"/>
              </w:rPr>
              <w:t xml:space="preserve">MNPI</w:t>
            </w:r>
            <w:r>
              <w:rPr>
                <w:color w:val="0D1B2A"/>
              </w:rPr>
              <w:t xml:space="preserve"> tags on fields.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field can hold a tier plus any combination of PII/MNPI.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FR-AX-002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enforce </w:t>
            </w:r>
            <w:r>
              <w:rPr>
                <w:b/>
                <w:bCs/>
                <w:color w:val="0D1B2A"/>
              </w:rPr>
              <w:t xml:space="preserve">attribute-level access</w:t>
            </w:r>
            <w:r>
              <w:rPr>
                <w:color w:val="0D1B2A"/>
              </w:rPr>
              <w:t xml:space="preserve">: a field is visible to a principal only if its tier ≤ the principal's clearance, and (PII⇒role has PII) and (MNPI⇒role has MNPI).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Masking matches the decision rule across roles in tests.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FR-AX-003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Attribute-level enforcement SHALL apply </w:t>
            </w:r>
            <w:r>
              <w:rPr>
                <w:b/>
                <w:bCs/>
                <w:color w:val="0D1B2A"/>
              </w:rPr>
              <w:t xml:space="preserve">consistently</w:t>
            </w:r>
            <w:r>
              <w:rPr>
                <w:color w:val="0D1B2A"/>
              </w:rPr>
              <w:t xml:space="preserve"> in the API, semantic-layer queries, and catalog previews.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same field is masked identically across all read surfaces for a given role.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FR-AX-004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implement </w:t>
            </w:r>
            <w:r>
              <w:rPr>
                <w:b/>
                <w:bCs/>
                <w:color w:val="0D1B2A"/>
              </w:rPr>
              <w:t xml:space="preserve">RBAC</w:t>
            </w:r>
            <w:r>
              <w:rPr>
                <w:color w:val="0D1B2A"/>
              </w:rPr>
              <w:t xml:space="preserve"> with roles (viewer, modeler, steward, domain_owner, platform_engineer, governance, </w:t>
            </w:r>
            <w:r>
              <w:rPr>
                <w:b/>
                <w:bCs/>
                <w:color w:val="0D1B2A"/>
              </w:rPr>
              <w:t xml:space="preserve">chief_data_architect</w:t>
            </w:r>
            <w:r>
              <w:rPr>
                <w:color w:val="0D1B2A"/>
              </w:rPr>
              <w:t xml:space="preserve">, </w:t>
            </w:r>
            <w:r>
              <w:rPr>
                <w:b/>
                <w:bCs/>
                <w:color w:val="0D1B2A"/>
              </w:rPr>
              <w:t xml:space="preserve">architecture_review_board</w:t>
            </w:r>
            <w:r>
              <w:rPr>
                <w:color w:val="0D1B2A"/>
              </w:rPr>
              <w:t xml:space="preserve">, admin) mapped from IdP groups.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Each role grants only its capabilities; group→role mapping is configurable; the CDA role holds enterprise sign-off authority (see FR-FG).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FR-AX-005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Roles SHALL be </w:t>
            </w:r>
            <w:r>
              <w:rPr>
                <w:b/>
                <w:bCs/>
                <w:color w:val="0D1B2A"/>
              </w:rPr>
              <w:t xml:space="preserve">domain-scoped</w:t>
            </w:r>
            <w:r>
              <w:rPr>
                <w:color w:val="0D1B2A"/>
              </w:rPr>
              <w:t xml:space="preserve"> where applicable (e.g., steward of a specific domain).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domain-scoped steward cannot approve changes outside their domain.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FR-AX-006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masked measure SHALL NOT be computable by a role lacking clearance (no aggregate leakage).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semantic query over an MNPI measure is blocked for an unauthorized role.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FR-AX-007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Access decisions on sensitive data SHALL be </w:t>
            </w:r>
            <w:r>
              <w:rPr>
                <w:b/>
                <w:bCs/>
                <w:color w:val="0D1B2A"/>
              </w:rPr>
              <w:t xml:space="preserve">auditable</w:t>
            </w:r>
            <w:r>
              <w:rPr>
                <w:color w:val="0D1B2A"/>
              </w:rPr>
              <w:t xml:space="preserve"> (which rule applied).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audit/log records the governing reason for a mask/allow.</w:t>
            </w:r>
          </w:p>
        </w:tc>
      </w:tr>
    </w:tbl>
    <w:p>
      <w:pPr>
        <w:spacing w:after="120"/>
      </w:pPr>
    </w:p>
    <w:p>
      <w:pPr>
        <w:pStyle w:val="Heading2"/>
        <w:spacing w:after="80" w:before="220"/>
      </w:pPr>
      <w:r>
        <w:rPr>
          <w:b/>
          <w:bCs/>
          <w:color w:val="15756B"/>
        </w:rPr>
        <w:t xml:space="preserve">2.7 Integration (FR-IN)</w:t>
      </w:r>
    </w:p>
    <w:tbl>
      <w:tblPr>
        <w:tblW w:type="pct" w:w="100%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FR-IN-001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Git provider integration SHALL be abstracted; a </w:t>
            </w:r>
            <w:r>
              <w:rPr>
                <w:b/>
                <w:bCs/>
                <w:color w:val="0D1B2A"/>
              </w:rPr>
              <w:t xml:space="preserve">GitLab</w:t>
            </w:r>
            <w:r>
              <w:rPr>
                <w:color w:val="0D1B2A"/>
              </w:rPr>
              <w:t xml:space="preserve"> implementation and a </w:t>
            </w:r>
            <w:r>
              <w:rPr>
                <w:b/>
                <w:bCs/>
                <w:color w:val="0D1B2A"/>
              </w:rPr>
              <w:t xml:space="preserve">local</w:t>
            </w:r>
            <w:r>
              <w:rPr>
                <w:color w:val="0D1B2A"/>
              </w:rPr>
              <w:t xml:space="preserve"> implementation SHALL be provided (branch, commit, MR, merge, webhook).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Reconcile reads the tree; the write path opens/merges an MR via the provider.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FR-IN-002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</w:t>
            </w:r>
            <w:r>
              <w:rPr>
                <w:b/>
                <w:bCs/>
                <w:color w:val="0D1B2A"/>
              </w:rPr>
              <w:t xml:space="preserve">reconcile</w:t>
            </w:r>
            <w:r>
              <w:rPr>
                <w:color w:val="0D1B2A"/>
              </w:rPr>
              <w:t xml:space="preserve"> Git → projection idempotently and support full rebuild from Git.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rebuild reproduces the projection exactly from a given commit.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FR-IN-003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</w:t>
            </w:r>
            <w:r>
              <w:rPr>
                <w:b/>
                <w:bCs/>
                <w:color w:val="0D1B2A"/>
              </w:rPr>
              <w:t xml:space="preserve">detect drift</w:t>
            </w:r>
            <w:r>
              <w:rPr>
                <w:color w:val="0D1B2A"/>
              </w:rPr>
              <w:t xml:space="preserve"> between Git, the projection, models, and Unity Catalog, and alert.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An out-of-band change raises a drift alert.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FR-IN-004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</w:t>
            </w:r>
            <w:r>
              <w:rPr>
                <w:b/>
                <w:bCs/>
                <w:color w:val="0D1B2A"/>
              </w:rPr>
              <w:t xml:space="preserve">push</w:t>
            </w:r>
            <w:r>
              <w:rPr>
                <w:color w:val="0D1B2A"/>
              </w:rPr>
              <w:t xml:space="preserve"> models to Unity Catalog (schemas, classification/PII/MNPI tags, column masks, ownership).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push plan is generated; applied tags/masks match the model.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FR-IN-005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</w:t>
            </w:r>
            <w:r>
              <w:rPr>
                <w:b/>
                <w:bCs/>
                <w:color w:val="0D1B2A"/>
              </w:rPr>
              <w:t xml:space="preserve">pull/import</w:t>
            </w:r>
            <w:r>
              <w:rPr>
                <w:color w:val="0D1B2A"/>
              </w:rPr>
              <w:t xml:space="preserve"> an existing Unity Catalog estate as candidate models.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Import produces candidate BDM/PDM skeletons for existing tables.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FR-IN-006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Identity SHALL integrate via </w:t>
            </w:r>
            <w:r>
              <w:rPr>
                <w:b/>
                <w:bCs/>
                <w:color w:val="0D1B2A"/>
              </w:rPr>
              <w:t xml:space="preserve">OIDC/SAML</w:t>
            </w:r>
            <w:r>
              <w:rPr>
                <w:color w:val="0D1B2A"/>
              </w:rPr>
              <w:t xml:space="preserve">; API keys / service principals SHALL be supported for machines.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SSO login works; keys are scoped, hashed, and revocable.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FR-IN-007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Secrets SHALL be sourced from a </w:t>
            </w:r>
            <w:r>
              <w:rPr>
                <w:b/>
                <w:bCs/>
                <w:color w:val="0D1B2A"/>
              </w:rPr>
              <w:t xml:space="preserve">secrets manager</w:t>
            </w:r>
            <w:r>
              <w:rPr>
                <w:color w:val="0D1B2A"/>
              </w:rPr>
              <w:t xml:space="preserve"> via an adapter; no secret in code or Git.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app reads secrets from the configured provider; a secret scan passes.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FR-IN-008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emit </w:t>
            </w:r>
            <w:r>
              <w:rPr>
                <w:b/>
                <w:bCs/>
                <w:color w:val="0D1B2A"/>
              </w:rPr>
              <w:t xml:space="preserve">domain events</w:t>
            </w:r>
            <w:r>
              <w:rPr>
                <w:color w:val="0D1B2A"/>
              </w:rPr>
              <w:t xml:space="preserve"> and deliver </w:t>
            </w:r>
            <w:r>
              <w:rPr>
                <w:b/>
                <w:bCs/>
                <w:color w:val="0D1B2A"/>
              </w:rPr>
              <w:t xml:space="preserve">webhooks</w:t>
            </w:r>
            <w:r>
              <w:rPr>
                <w:color w:val="0D1B2A"/>
              </w:rPr>
              <w:t xml:space="preserve"> (HMAC-signed, retried, dead-lettered, replayable); breaking-change notifications SHALL be delivered to subscribers.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subscriber receives a signed event; failures dead-letter and can be replayed.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FR-IN-009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C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MAY publish events to </w:t>
            </w:r>
            <w:r>
              <w:rPr>
                <w:b/>
                <w:bCs/>
                <w:color w:val="0D1B2A"/>
              </w:rPr>
              <w:t xml:space="preserve">Kafka</w:t>
            </w:r>
            <w:r>
              <w:rPr>
                <w:color w:val="0D1B2A"/>
              </w:rPr>
              <w:t xml:space="preserve"> in addition to webhooks.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Kafka topic receives the event envelope (CloudEvents).</w:t>
            </w:r>
          </w:p>
        </w:tc>
      </w:tr>
    </w:tbl>
    <w:p>
      <w:pPr>
        <w:spacing w:after="120"/>
      </w:pPr>
    </w:p>
    <w:p>
      <w:pPr>
        <w:pStyle w:val="Heading2"/>
        <w:spacing w:after="80" w:before="220"/>
      </w:pPr>
      <w:r>
        <w:rPr>
          <w:b/>
          <w:bCs/>
          <w:color w:val="15756B"/>
        </w:rPr>
        <w:t xml:space="preserve">2.8 Consumption Surfaces (FR-CN)</w:t>
      </w:r>
    </w:p>
    <w:tbl>
      <w:tblPr>
        <w:tblW w:type="pct" w:w="100%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FR-CN-001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expose a </w:t>
            </w:r>
            <w:r>
              <w:rPr>
                <w:b/>
                <w:bCs/>
                <w:color w:val="0D1B2A"/>
              </w:rPr>
              <w:t xml:space="preserve">versioned REST API</w:t>
            </w:r>
            <w:r>
              <w:rPr>
                <w:color w:val="0D1B2A"/>
              </w:rPr>
              <w:t xml:space="preserve"> (</w:t>
            </w:r>
            <w:r>
              <w:rPr>
                <w:rFonts w:ascii="Consolas" w:cs="Consolas" w:eastAsia="Consolas" w:hAnsi="Consolas"/>
                <w:color w:val="0D1B2A"/>
              </w:rPr>
              <w:t xml:space="preserve">/api/v1</w:t>
            </w:r>
            <w:r>
              <w:rPr>
                <w:color w:val="0D1B2A"/>
              </w:rPr>
              <w:t xml:space="preserve">) for discovery, contracts, registry, lineage, access, and governance.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Documented endpoints respond per the OpenAPI spec.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FR-CN-002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API responses SHALL be </w:t>
            </w:r>
            <w:r>
              <w:rPr>
                <w:b/>
                <w:bCs/>
                <w:color w:val="0D1B2A"/>
              </w:rPr>
              <w:t xml:space="preserve">access-governed</w:t>
            </w:r>
            <w:r>
              <w:rPr>
                <w:color w:val="0D1B2A"/>
              </w:rPr>
              <w:t xml:space="preserve"> (attribute-level masking by the caller's clearance).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keyed call returns masked fields per role.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FR-CN-003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</w:t>
            </w:r>
            <w:r>
              <w:rPr>
                <w:b/>
                <w:bCs/>
                <w:color w:val="0D1B2A"/>
              </w:rPr>
              <w:t xml:space="preserve">TypeScript SDK</w:t>
            </w:r>
            <w:r>
              <w:rPr>
                <w:color w:val="0D1B2A"/>
              </w:rPr>
              <w:t xml:space="preserve"> and a </w:t>
            </w:r>
            <w:r>
              <w:rPr>
                <w:b/>
                <w:bCs/>
                <w:color w:val="0D1B2A"/>
              </w:rPr>
              <w:t xml:space="preserve">Python SDK</w:t>
            </w:r>
            <w:r>
              <w:rPr>
                <w:color w:val="0D1B2A"/>
              </w:rPr>
              <w:t xml:space="preserve"> SHALL be provided for consumers.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Both SDKs round-trip read endpoints and respect masking.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FR-CN-004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</w:t>
            </w:r>
            <w:r>
              <w:rPr>
                <w:b/>
                <w:bCs/>
                <w:color w:val="0D1B2A"/>
              </w:rPr>
              <w:t xml:space="preserve">CLI</w:t>
            </w:r>
            <w:r>
              <w:rPr>
                <w:color w:val="0D1B2A"/>
              </w:rPr>
              <w:t xml:space="preserve"> SHALL support validate, diff, propose, models/registry, simulate, generate, pipeline, lineage, login.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Each CLI command performs its documented function.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FR-CN-005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API SHALL provide cursor </w:t>
            </w:r>
            <w:r>
              <w:rPr>
                <w:b/>
                <w:bCs/>
                <w:color w:val="0D1B2A"/>
              </w:rPr>
              <w:t xml:space="preserve">pagination</w:t>
            </w:r>
            <w:r>
              <w:rPr>
                <w:color w:val="0D1B2A"/>
              </w:rPr>
              <w:t xml:space="preserve">, filtering, and field selection; errors SHALL follow RFC 9457 (problem+json).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Large result sets paginate; errors return structured problem documents.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FR-CN-006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Mutating endpoints SHALL accept an </w:t>
            </w:r>
            <w:r>
              <w:rPr>
                <w:b/>
                <w:bCs/>
                <w:color w:val="0D1B2A"/>
              </w:rPr>
              <w:t xml:space="preserve">Idempotency-Key</w:t>
            </w:r>
            <w:r>
              <w:rPr>
                <w:color w:val="0D1B2A"/>
              </w:rPr>
              <w:t xml:space="preserve">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repeated mutating call with the same key is not double-applied.</w:t>
            </w:r>
          </w:p>
        </w:tc>
      </w:tr>
    </w:tbl>
    <w:p>
      <w:pPr>
        <w:spacing w:after="120"/>
      </w:pPr>
    </w:p>
    <w:p>
      <w:pPr>
        <w:pStyle w:val="Heading2"/>
        <w:spacing w:after="80" w:before="220"/>
      </w:pPr>
      <w:r>
        <w:rPr>
          <w:b/>
          <w:bCs/>
          <w:color w:val="15756B"/>
        </w:rPr>
        <w:t xml:space="preserve">2.9 User Interface (FR-UI)</w:t>
      </w:r>
    </w:p>
    <w:tbl>
      <w:tblPr>
        <w:tblW w:type="pct" w:w="100%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FR-UI-001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UI SHALL provide a </w:t>
            </w:r>
            <w:r>
              <w:rPr>
                <w:b/>
                <w:bCs/>
                <w:color w:val="0D1B2A"/>
              </w:rPr>
              <w:t xml:space="preserve">catalog/search</w:t>
            </w:r>
            <w:r>
              <w:rPr>
                <w:color w:val="0D1B2A"/>
              </w:rPr>
              <w:t xml:space="preserve">, </w:t>
            </w:r>
            <w:r>
              <w:rPr>
                <w:b/>
                <w:bCs/>
                <w:color w:val="0D1B2A"/>
              </w:rPr>
              <w:t xml:space="preserve">model detail</w:t>
            </w:r>
            <w:r>
              <w:rPr>
                <w:color w:val="0D1B2A"/>
              </w:rPr>
              <w:t xml:space="preserve">, </w:t>
            </w:r>
            <w:r>
              <w:rPr>
                <w:b/>
                <w:bCs/>
                <w:color w:val="0D1B2A"/>
              </w:rPr>
              <w:t xml:space="preserve">registry</w:t>
            </w:r>
            <w:r>
              <w:rPr>
                <w:color w:val="0D1B2A"/>
              </w:rPr>
              <w:t xml:space="preserve">, </w:t>
            </w:r>
            <w:r>
              <w:rPr>
                <w:b/>
                <w:bCs/>
                <w:color w:val="0D1B2A"/>
              </w:rPr>
              <w:t xml:space="preserve">lineage explorer</w:t>
            </w:r>
            <w:r>
              <w:rPr>
                <w:color w:val="0D1B2A"/>
              </w:rPr>
              <w:t xml:space="preserve">, </w:t>
            </w:r>
            <w:r>
              <w:rPr>
                <w:b/>
                <w:bCs/>
                <w:color w:val="0D1B2A"/>
              </w:rPr>
              <w:t xml:space="preserve">pipeline console</w:t>
            </w:r>
            <w:r>
              <w:rPr>
                <w:color w:val="0D1B2A"/>
              </w:rPr>
              <w:t xml:space="preserve">, </w:t>
            </w:r>
            <w:r>
              <w:rPr>
                <w:b/>
                <w:bCs/>
                <w:color w:val="0D1B2A"/>
              </w:rPr>
              <w:t xml:space="preserve">ChangeSet review</w:t>
            </w:r>
            <w:r>
              <w:rPr>
                <w:color w:val="0D1B2A"/>
              </w:rPr>
              <w:t xml:space="preserve">, </w:t>
            </w:r>
            <w:r>
              <w:rPr>
                <w:b/>
                <w:bCs/>
                <w:color w:val="0D1B2A"/>
              </w:rPr>
              <w:t xml:space="preserve">governance dashboards</w:t>
            </w:r>
            <w:r>
              <w:rPr>
                <w:color w:val="0D1B2A"/>
              </w:rPr>
              <w:t xml:space="preserve">, and </w:t>
            </w:r>
            <w:r>
              <w:rPr>
                <w:b/>
                <w:bCs/>
                <w:color w:val="0D1B2A"/>
              </w:rPr>
              <w:t xml:space="preserve">admin</w:t>
            </w:r>
            <w:r>
              <w:rPr>
                <w:color w:val="0D1B2A"/>
              </w:rPr>
              <w:t xml:space="preserve"> surfaces.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Each surface is reachable and renders live data.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FR-UI-002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UI SHALL provide a </w:t>
            </w:r>
            <w:r>
              <w:rPr>
                <w:b/>
                <w:bCs/>
                <w:color w:val="0D1B2A"/>
              </w:rPr>
              <w:t xml:space="preserve">model editor</w:t>
            </w:r>
            <w:r>
              <w:rPr>
                <w:color w:val="0D1B2A"/>
              </w:rPr>
              <w:t xml:space="preserve"> (form + YAML) with live validation, semver pre-check, and simulate.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Editing shows inline errors and the required version bump before proposing.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FR-UI-003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UI SHALL render an </w:t>
            </w:r>
            <w:r>
              <w:rPr>
                <w:b/>
                <w:bCs/>
                <w:color w:val="0D1B2A"/>
              </w:rPr>
              <w:t xml:space="preserve">interactive ERD</w:t>
            </w:r>
            <w:r>
              <w:rPr>
                <w:color w:val="0D1B2A"/>
              </w:rPr>
              <w:t xml:space="preserve"> with expandable entities, FK connectors, and classification/PII/MNPI badges.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Entities expand to show attributes; FKs draw between entities.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FR-UI-004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UI SHALL be </w:t>
            </w:r>
            <w:r>
              <w:rPr>
                <w:b/>
                <w:bCs/>
                <w:color w:val="0D1B2A"/>
              </w:rPr>
              <w:t xml:space="preserve">WCAG 2.2 AA</w:t>
            </w:r>
            <w:r>
              <w:rPr>
                <w:color w:val="0D1B2A"/>
              </w:rPr>
              <w:t xml:space="preserve"> accessible and keyboard-navigable; colour SHALL never be the only signal.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Accessibility checks pass; badges carry text labels.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FR-UI-005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UI SHALL surface </w:t>
            </w:r>
            <w:r>
              <w:rPr>
                <w:b/>
                <w:bCs/>
                <w:color w:val="0D1B2A"/>
              </w:rPr>
              <w:t xml:space="preserve">read-only data</w:t>
            </w:r>
            <w:r>
              <w:rPr>
                <w:color w:val="0D1B2A"/>
              </w:rPr>
              <w:t xml:space="preserve"> to viewers and gate write actions by capability.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viewer cannot see write controls; actions enforce capabilities.</w:t>
            </w:r>
          </w:p>
        </w:tc>
      </w:tr>
    </w:tbl>
    <w:p>
      <w:pPr>
        <w:spacing w:after="120"/>
      </w:pPr>
    </w:p>
    <w:p>
      <w:pPr>
        <w:pStyle w:val="Heading2"/>
        <w:spacing w:after="80" w:before="220"/>
      </w:pPr>
      <w:r>
        <w:rPr>
          <w:b/>
          <w:bCs/>
          <w:color w:val="15756B"/>
        </w:rPr>
        <w:t xml:space="preserve">2.10 Administration (FR-AD)</w:t>
      </w:r>
    </w:p>
    <w:tbl>
      <w:tblPr>
        <w:tblW w:type="pct" w:w="100%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FR-AD-001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Administrators SHALL configure </w:t>
            </w:r>
            <w:r>
              <w:rPr>
                <w:b/>
                <w:bCs/>
                <w:color w:val="0D1B2A"/>
              </w:rPr>
              <w:t xml:space="preserve">IdP, group→role mapping, domains, environments, connectors</w:t>
            </w:r>
            <w:r>
              <w:rPr>
                <w:color w:val="0D1B2A"/>
              </w:rPr>
              <w:t xml:space="preserve"> (Git, Databricks, secrets, notifications).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Config changes take effect without code changes.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FR-AD-002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provide a </w:t>
            </w:r>
            <w:r>
              <w:rPr>
                <w:b/>
                <w:bCs/>
                <w:color w:val="0D1B2A"/>
              </w:rPr>
              <w:t xml:space="preserve">first-run bootstrap</w:t>
            </w:r>
            <w:r>
              <w:rPr>
                <w:color w:val="0D1B2A"/>
              </w:rPr>
              <w:t xml:space="preserve"> (migrations, connectivity checks, optional seed, reconcile) and a guided setup wizard.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fresh install reaches a working, explorable state with minimal steps.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FR-AD-003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Administrators SHALL manage </w:t>
            </w:r>
            <w:r>
              <w:rPr>
                <w:b/>
                <w:bCs/>
                <w:color w:val="0D1B2A"/>
              </w:rPr>
              <w:t xml:space="preserve">retention</w:t>
            </w:r>
            <w:r>
              <w:rPr>
                <w:color w:val="0D1B2A"/>
              </w:rPr>
              <w:t xml:space="preserve"> settings and export </w:t>
            </w:r>
            <w:r>
              <w:rPr>
                <w:b/>
                <w:bCs/>
                <w:color w:val="0D1B2A"/>
              </w:rPr>
              <w:t xml:space="preserve">audit/evidence</w:t>
            </w:r>
            <w:r>
              <w:rPr>
                <w:color w:val="0D1B2A"/>
              </w:rPr>
              <w:t xml:space="preserve"> bundles.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Retention is configurable; an evidence bundle exports for a change.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FR-AD-004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expose </w:t>
            </w:r>
            <w:r>
              <w:rPr>
                <w:b/>
                <w:bCs/>
                <w:color w:val="0D1B2A"/>
              </w:rPr>
              <w:t xml:space="preserve">health/readiness/version</w:t>
            </w:r>
            <w:r>
              <w:rPr>
                <w:color w:val="0D1B2A"/>
              </w:rPr>
              <w:t xml:space="preserve"> endpoints and operational metrics.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Probes report status; metrics are scrapable.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120"/>
      </w:pPr>
      <w:r>
        <w:rPr>
          <w:b/>
          <w:bCs/>
          <w:color w:val="0D1B2A"/>
        </w:rPr>
        <w:t xml:space="preserve">3. Non-Functional Requirements</w:t>
      </w:r>
    </w:p>
    <w:p>
      <w:pPr>
        <w:spacing w:after="80"/>
      </w:pPr>
      <w:r>
        <w:t xml:space="preserve">Priority: </w:t>
      </w:r>
      <w:r>
        <w:rPr>
          <w:b/>
          <w:bCs/>
        </w:rPr>
        <w:t xml:space="preserve">M</w:t>
      </w:r>
      <w:r>
        <w:t xml:space="preserve">ust / </w:t>
      </w:r>
      <w:r>
        <w:rPr>
          <w:b/>
          <w:bCs/>
        </w:rPr>
        <w:t xml:space="preserve">S</w:t>
      </w:r>
      <w:r>
        <w:t xml:space="preserve">hould / </w:t>
      </w:r>
      <w:r>
        <w:rPr>
          <w:b/>
          <w:bCs/>
        </w:rPr>
        <w:t xml:space="preserve">C</w:t>
      </w:r>
      <w:r>
        <w:t xml:space="preserve">ould. Targets are initial baselines to be</w:t>
      </w:r>
    </w:p>
    <w:p>
      <w:pPr>
        <w:spacing w:after="80"/>
      </w:pPr>
      <w:r>
        <w:t xml:space="preserve">confirmed against the corporate environment.</w:t>
      </w:r>
    </w:p>
    <w:p>
      <w:pPr>
        <w:pStyle w:val="Heading2"/>
        <w:spacing w:after="80" w:before="220"/>
      </w:pPr>
      <w:r>
        <w:rPr>
          <w:b/>
          <w:bCs/>
          <w:color w:val="15756B"/>
        </w:rPr>
        <w:t xml:space="preserve">3.1 Performance (NFR-PERF)</w:t>
      </w:r>
    </w:p>
    <w:tbl>
      <w:tblPr>
        <w:tblW w:type="pct" w:w="100%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NFR-PERF-001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Catalog/registry/model read APIs SHALL respond in </w:t>
            </w:r>
            <w:r>
              <w:rPr>
                <w:b/>
                <w:bCs/>
                <w:color w:val="0D1B2A"/>
              </w:rPr>
              <w:t xml:space="preserve">&lt; 300 ms p95</w:t>
            </w:r>
            <w:r>
              <w:rPr>
                <w:color w:val="0D1B2A"/>
              </w:rPr>
              <w:t xml:space="preserve"> for an estate of 10k models (served from the projection).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Load test meets the p95 target.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NFR-PERF-002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Lineage upstream/downstream traversal (depth ≤ 5) SHALL respond in </w:t>
            </w:r>
            <w:r>
              <w:rPr>
                <w:b/>
                <w:bCs/>
                <w:color w:val="0D1B2A"/>
              </w:rPr>
              <w:t xml:space="preserve">&lt; 800 ms p95</w:t>
            </w:r>
            <w:r>
              <w:rPr>
                <w:color w:val="0D1B2A"/>
              </w:rPr>
              <w:t xml:space="preserve">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Load test meets the p95 target.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NFR-PERF-003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Reconcile of a single changed model SHALL complete in </w:t>
            </w:r>
            <w:r>
              <w:rPr>
                <w:b/>
                <w:bCs/>
                <w:color w:val="0D1B2A"/>
              </w:rPr>
              <w:t xml:space="preserve">&lt; 5 s</w:t>
            </w:r>
            <w:r>
              <w:rPr>
                <w:color w:val="0D1B2A"/>
              </w:rPr>
              <w:t xml:space="preserve">; full rebuild SHALL be chunked and resumable.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Incremental reconcile and rebuild meet targets on the reference estate.</w:t>
            </w:r>
          </w:p>
        </w:tc>
      </w:tr>
    </w:tbl>
    <w:p>
      <w:pPr>
        <w:spacing w:after="120"/>
      </w:pPr>
    </w:p>
    <w:p>
      <w:pPr>
        <w:pStyle w:val="Heading2"/>
        <w:spacing w:after="80" w:before="220"/>
      </w:pPr>
      <w:r>
        <w:rPr>
          <w:b/>
          <w:bCs/>
          <w:color w:val="15756B"/>
        </w:rPr>
        <w:t xml:space="preserve">3.2 Scalability (NFR-SCALE)</w:t>
      </w:r>
    </w:p>
    <w:tbl>
      <w:tblPr>
        <w:tblW w:type="pct" w:w="100%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NFR-SCALE-001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app tier SHALL be </w:t>
            </w:r>
            <w:r>
              <w:rPr>
                <w:b/>
                <w:bCs/>
                <w:color w:val="0D1B2A"/>
              </w:rPr>
              <w:t xml:space="preserve">stateless</w:t>
            </w:r>
            <w:r>
              <w:rPr>
                <w:color w:val="0D1B2A"/>
              </w:rPr>
              <w:t xml:space="preserve"> and horizontally scalable; all durable state in Postgres/Git/object store/Databricks.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Replicas can be added/removed with no loss of function.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NFR-SCALE-002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support </w:t>
            </w:r>
            <w:r>
              <w:rPr>
                <w:b/>
                <w:bCs/>
                <w:color w:val="0D1B2A"/>
              </w:rPr>
              <w:t xml:space="preserve">≥ 10,000 models</w:t>
            </w:r>
            <w:r>
              <w:rPr>
                <w:color w:val="0D1B2A"/>
              </w:rPr>
              <w:t xml:space="preserve">, </w:t>
            </w:r>
            <w:r>
              <w:rPr>
                <w:b/>
                <w:bCs/>
                <w:color w:val="0D1B2A"/>
              </w:rPr>
              <w:t xml:space="preserve">≥ 100,000 fields</w:t>
            </w:r>
            <w:r>
              <w:rPr>
                <w:color w:val="0D1B2A"/>
              </w:rPr>
              <w:t xml:space="preserve">, and </w:t>
            </w:r>
            <w:r>
              <w:rPr>
                <w:b/>
                <w:bCs/>
                <w:color w:val="0D1B2A"/>
              </w:rPr>
              <w:t xml:space="preserve">≥ 100 domains</w:t>
            </w:r>
            <w:r>
              <w:rPr>
                <w:color w:val="0D1B2A"/>
              </w:rPr>
              <w:t xml:space="preserve"> without redesign.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Reference-scale dataset loads and queries within performance targets.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NFR-SCALE-003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Worker throughput SHALL scale by </w:t>
            </w:r>
            <w:r>
              <w:rPr>
                <w:b/>
                <w:bCs/>
                <w:color w:val="0D1B2A"/>
              </w:rPr>
              <w:t xml:space="preserve">queue depth</w:t>
            </w:r>
            <w:r>
              <w:rPr>
                <w:color w:val="0D1B2A"/>
              </w:rPr>
              <w:t xml:space="preserve"> (autoscale).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Backlog drains as workers scale.</w:t>
            </w:r>
          </w:p>
        </w:tc>
      </w:tr>
    </w:tbl>
    <w:p>
      <w:pPr>
        <w:spacing w:after="120"/>
      </w:pPr>
    </w:p>
    <w:p>
      <w:pPr>
        <w:pStyle w:val="Heading2"/>
        <w:spacing w:after="80" w:before="220"/>
      </w:pPr>
      <w:r>
        <w:rPr>
          <w:b/>
          <w:bCs/>
          <w:color w:val="15756B"/>
        </w:rPr>
        <w:t xml:space="preserve">3.3 Availability &amp; Resilience (NFR-AVAIL)</w:t>
      </w:r>
    </w:p>
    <w:tbl>
      <w:tblPr>
        <w:tblW w:type="pct" w:w="100%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NFR-AVAIL-001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control plane SHALL target </w:t>
            </w:r>
            <w:r>
              <w:rPr>
                <w:b/>
                <w:bCs/>
                <w:color w:val="0D1B2A"/>
              </w:rPr>
              <w:t xml:space="preserve">99.5%</w:t>
            </w:r>
            <w:r>
              <w:rPr>
                <w:color w:val="0D1B2A"/>
              </w:rPr>
              <w:t xml:space="preserve"> monthly availability for read/governance surfaces.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Uptime monitoring meets the target.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NFR-AVAIL-002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dependency outage (Databricks, Git provider, IdP) SHALL </w:t>
            </w:r>
            <w:r>
              <w:rPr>
                <w:b/>
                <w:bCs/>
                <w:color w:val="0D1B2A"/>
              </w:rPr>
              <w:t xml:space="preserve">degrade only the affected capability</w:t>
            </w:r>
            <w:r>
              <w:rPr>
                <w:color w:val="0D1B2A"/>
              </w:rPr>
              <w:t xml:space="preserve">, not the whole platform.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With each dependency down, unaffected surfaces keep working; affected ones fail gracefully.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NFR-AVAIL-003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All asynchronous operations (reconcile, deploy, sync, webhook) SHALL be </w:t>
            </w:r>
            <w:r>
              <w:rPr>
                <w:b/>
                <w:bCs/>
                <w:color w:val="0D1B2A"/>
              </w:rPr>
              <w:t xml:space="preserve">idempotent</w:t>
            </w:r>
            <w:r>
              <w:rPr>
                <w:color w:val="0D1B2A"/>
              </w:rPr>
              <w:t xml:space="preserve"> and safely retryable.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Re-running any job produces no duplicate/incorrect state.</w:t>
            </w:r>
          </w:p>
        </w:tc>
      </w:tr>
    </w:tbl>
    <w:p>
      <w:pPr>
        <w:spacing w:after="120"/>
      </w:pPr>
    </w:p>
    <w:p>
      <w:pPr>
        <w:pStyle w:val="Heading2"/>
        <w:spacing w:after="80" w:before="220"/>
      </w:pPr>
      <w:r>
        <w:rPr>
          <w:b/>
          <w:bCs/>
          <w:color w:val="15756B"/>
        </w:rPr>
        <w:t xml:space="preserve">3.4 Security (NFR-SEC)</w:t>
      </w:r>
    </w:p>
    <w:tbl>
      <w:tblPr>
        <w:tblW w:type="pct" w:w="100%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NFR-SEC-001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Access SHALL be </w:t>
            </w:r>
            <w:r>
              <w:rPr>
                <w:b/>
                <w:bCs/>
                <w:color w:val="0D1B2A"/>
              </w:rPr>
              <w:t xml:space="preserve">deny-by-default</w:t>
            </w:r>
            <w:r>
              <w:rPr>
                <w:color w:val="0D1B2A"/>
              </w:rPr>
              <w:t xml:space="preserve">; authorization layered as domain scope → role capability → attribute mask.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No grant ⇒ no access; precedence verified.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NFR-SEC-002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All traffic SHALL be </w:t>
            </w:r>
            <w:r>
              <w:rPr>
                <w:b/>
                <w:bCs/>
                <w:color w:val="0D1B2A"/>
              </w:rPr>
              <w:t xml:space="preserve">TLS</w:t>
            </w:r>
            <w:r>
              <w:rPr>
                <w:color w:val="0D1B2A"/>
              </w:rPr>
              <w:t xml:space="preserve">; data at rest SHALL be encrypted (DB, object store).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TLS enforced; encryption confirmed.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NFR-SEC-003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Row-Level Security SHALL enforce domain + clearance at the </w:t>
            </w:r>
            <w:r>
              <w:rPr>
                <w:b/>
                <w:bCs/>
                <w:color w:val="0D1B2A"/>
              </w:rPr>
              <w:t xml:space="preserve">database layer</w:t>
            </w:r>
            <w:r>
              <w:rPr>
                <w:color w:val="0D1B2A"/>
              </w:rPr>
              <w:t xml:space="preserve"> as defence in depth.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Direct SQL cannot bypass domain/clearance scoping.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NFR-SEC-004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build SHALL include </w:t>
            </w:r>
            <w:r>
              <w:rPr>
                <w:b/>
                <w:bCs/>
                <w:color w:val="0D1B2A"/>
              </w:rPr>
              <w:t xml:space="preserve">dependency scanning, secret scanning, SBOM, and signed images</w:t>
            </w:r>
            <w:r>
              <w:rPr>
                <w:color w:val="0D1B2A"/>
              </w:rPr>
              <w:t xml:space="preserve">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CI produces an SBOM and signed image; scans pass.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NFR-SEC-005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No business data SHALL be </w:t>
            </w:r>
            <w:r>
              <w:rPr>
                <w:b/>
                <w:bCs/>
                <w:color w:val="0D1B2A"/>
              </w:rPr>
              <w:t xml:space="preserve">persisted</w:t>
            </w:r>
            <w:r>
              <w:rPr>
                <w:color w:val="0D1B2A"/>
              </w:rPr>
              <w:t xml:space="preserve"> in the control plane; data-product reads proxy governed warehouse reads.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No raw business data found at rest in DCT stores.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NFR-SEC-006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API access SHALL be </w:t>
            </w:r>
            <w:r>
              <w:rPr>
                <w:b/>
                <w:bCs/>
                <w:color w:val="0D1B2A"/>
              </w:rPr>
              <w:t xml:space="preserve">rate-limited</w:t>
            </w:r>
            <w:r>
              <w:rPr>
                <w:color w:val="0D1B2A"/>
              </w:rPr>
              <w:t xml:space="preserve"> per principal and </w:t>
            </w:r>
            <w:r>
              <w:rPr>
                <w:b/>
                <w:bCs/>
                <w:color w:val="0D1B2A"/>
              </w:rPr>
              <w:t xml:space="preserve">audited</w:t>
            </w:r>
            <w:r>
              <w:rPr>
                <w:color w:val="0D1B2A"/>
              </w:rPr>
              <w:t xml:space="preserve">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Excess requests get 429; access is logged.</w:t>
            </w:r>
          </w:p>
        </w:tc>
      </w:tr>
    </w:tbl>
    <w:p>
      <w:pPr>
        <w:spacing w:after="120"/>
      </w:pPr>
    </w:p>
    <w:p>
      <w:pPr>
        <w:pStyle w:val="Heading2"/>
        <w:spacing w:after="80" w:before="220"/>
      </w:pPr>
      <w:r>
        <w:rPr>
          <w:b/>
          <w:bCs/>
          <w:color w:val="15756B"/>
        </w:rPr>
        <w:t xml:space="preserve">3.5 Auditability &amp; Compliance (NFR-AUD)</w:t>
      </w:r>
    </w:p>
    <w:tbl>
      <w:tblPr>
        <w:tblW w:type="pct" w:w="100%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NFR-AUD-001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audit log SHALL be </w:t>
            </w:r>
            <w:r>
              <w:rPr>
                <w:b/>
                <w:bCs/>
                <w:color w:val="0D1B2A"/>
              </w:rPr>
              <w:t xml:space="preserve">append-only and tamper-evident</w:t>
            </w:r>
            <w:r>
              <w:rPr>
                <w:color w:val="0D1B2A"/>
              </w:rPr>
              <w:t xml:space="preserve"> (hash-chained); a verifier SHALL detect any break.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UPDATE/DELETE blocked; verifier flags tampering.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NFR-AUD-002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Audit events SHALL be </w:t>
            </w:r>
            <w:r>
              <w:rPr>
                <w:b/>
                <w:bCs/>
                <w:color w:val="0D1B2A"/>
              </w:rPr>
              <w:t xml:space="preserve">exportable</w:t>
            </w:r>
            <w:r>
              <w:rPr>
                <w:color w:val="0D1B2A"/>
              </w:rPr>
              <w:t xml:space="preserve"> to the corporate SIEM (CloudEvents) and optionally WORM storage.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Events stream to SIEM; export verified.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NFR-AUD-003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Every governed action SHALL be attributable to an </w:t>
            </w:r>
            <w:r>
              <w:rPr>
                <w:b/>
                <w:bCs/>
                <w:color w:val="0D1B2A"/>
              </w:rPr>
              <w:t xml:space="preserve">IdP-bound identity</w:t>
            </w:r>
            <w:r>
              <w:rPr>
                <w:color w:val="0D1B2A"/>
              </w:rPr>
              <w:t xml:space="preserve"> (non-repudiation).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Each event carries actor identity + roles.</w:t>
            </w:r>
          </w:p>
        </w:tc>
      </w:tr>
    </w:tbl>
    <w:p>
      <w:pPr>
        <w:spacing w:after="120"/>
      </w:pPr>
    </w:p>
    <w:p>
      <w:pPr>
        <w:pStyle w:val="Heading2"/>
        <w:spacing w:after="80" w:before="220"/>
      </w:pPr>
      <w:r>
        <w:rPr>
          <w:b/>
          <w:bCs/>
          <w:color w:val="15756B"/>
        </w:rPr>
        <w:t xml:space="preserve">3.6 Usability &amp; Accessibility (NFR-USE)</w:t>
      </w:r>
    </w:p>
    <w:tbl>
      <w:tblPr>
        <w:tblW w:type="pct" w:w="100%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NFR-USE-001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UI SHALL meet </w:t>
            </w:r>
            <w:r>
              <w:rPr>
                <w:b/>
                <w:bCs/>
                <w:color w:val="0D1B2A"/>
              </w:rPr>
              <w:t xml:space="preserve">WCAG 2.2 AA</w:t>
            </w:r>
            <w:r>
              <w:rPr>
                <w:color w:val="0D1B2A"/>
              </w:rPr>
              <w:t xml:space="preserve">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Automated + manual a11y checks pass.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NFR-USE-002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Common modeler/reviewer tasks SHALL be achievable in </w:t>
            </w:r>
            <w:r>
              <w:rPr>
                <w:b/>
                <w:bCs/>
                <w:color w:val="0D1B2A"/>
              </w:rPr>
              <w:t xml:space="preserve">≤ 5 actions</w:t>
            </w:r>
            <w:r>
              <w:rPr>
                <w:color w:val="0D1B2A"/>
              </w:rPr>
              <w:t xml:space="preserve"> from the relevant surface.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Task walkthroughs meet the action budget.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NFR-USE-003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C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UI SHALL be </w:t>
            </w:r>
            <w:r>
              <w:rPr>
                <w:b/>
                <w:bCs/>
                <w:color w:val="0D1B2A"/>
              </w:rPr>
              <w:t xml:space="preserve">i18n-ready</w:t>
            </w:r>
            <w:r>
              <w:rPr>
                <w:color w:val="0D1B2A"/>
              </w:rPr>
              <w:t xml:space="preserve"> (string catalogs; locale-aware dates/numbers).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Strings externalized; a second locale can be added without code changes.</w:t>
            </w:r>
          </w:p>
        </w:tc>
      </w:tr>
    </w:tbl>
    <w:p>
      <w:pPr>
        <w:spacing w:after="120"/>
      </w:pPr>
    </w:p>
    <w:p>
      <w:pPr>
        <w:pStyle w:val="Heading2"/>
        <w:spacing w:after="80" w:before="220"/>
      </w:pPr>
      <w:r>
        <w:rPr>
          <w:b/>
          <w:bCs/>
          <w:color w:val="15756B"/>
        </w:rPr>
        <w:t xml:space="preserve">3.7 Operability &amp; Observability (NFR-OPS)</w:t>
      </w:r>
    </w:p>
    <w:tbl>
      <w:tblPr>
        <w:tblW w:type="pct" w:w="100%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NFR-OPS-001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emit </w:t>
            </w:r>
            <w:r>
              <w:rPr>
                <w:b/>
                <w:bCs/>
                <w:color w:val="0D1B2A"/>
              </w:rPr>
              <w:t xml:space="preserve">OpenTelemetry</w:t>
            </w:r>
            <w:r>
              <w:rPr>
                <w:color w:val="0D1B2A"/>
              </w:rPr>
              <w:t xml:space="preserve"> traces/metrics/logs (OTLP), with secret/PII-value redaction in logs.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Telemetry exports; logs contain no secret/PII values.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NFR-OPS-002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expose </w:t>
            </w:r>
            <w:r>
              <w:rPr>
                <w:b/>
                <w:bCs/>
                <w:color w:val="0D1B2A"/>
              </w:rPr>
              <w:t xml:space="preserve">golden-signal</w:t>
            </w:r>
            <w:r>
              <w:rPr>
                <w:color w:val="0D1B2A"/>
              </w:rPr>
              <w:t xml:space="preserve"> + domain metrics (reconcile lag, drift, approval cycle time, gate pass rate, run success/SLA, queue depth, audit-chain integrity).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Dashboards display the listed metrics.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NFR-OPS-003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ship </w:t>
            </w:r>
            <w:r>
              <w:rPr>
                <w:b/>
                <w:bCs/>
                <w:color w:val="0D1B2A"/>
              </w:rPr>
              <w:t xml:space="preserve">health/readiness/version</w:t>
            </w:r>
            <w:r>
              <w:rPr>
                <w:color w:val="0D1B2A"/>
              </w:rPr>
              <w:t xml:space="preserve"> endpoints and alert rules.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Probes and alerts function.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NFR-OPS-004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Operational </w:t>
            </w:r>
            <w:r>
              <w:rPr>
                <w:b/>
                <w:bCs/>
                <w:color w:val="0D1B2A"/>
              </w:rPr>
              <w:t xml:space="preserve">runbooks</w:t>
            </w:r>
            <w:r>
              <w:rPr>
                <w:color w:val="0D1B2A"/>
              </w:rPr>
              <w:t xml:space="preserve"> SHALL be provided (drift, key rotation, break-glass, restore, onboarding).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Runbooks exist and are followed in a drill.</w:t>
            </w:r>
          </w:p>
        </w:tc>
      </w:tr>
    </w:tbl>
    <w:p>
      <w:pPr>
        <w:spacing w:after="120"/>
      </w:pPr>
    </w:p>
    <w:p>
      <w:pPr>
        <w:pStyle w:val="Heading2"/>
        <w:spacing w:after="80" w:before="220"/>
      </w:pPr>
      <w:r>
        <w:rPr>
          <w:b/>
          <w:bCs/>
          <w:color w:val="15756B"/>
        </w:rPr>
        <w:t xml:space="preserve">3.8 Portability &amp; Deployment (NFR-PORT)</w:t>
      </w:r>
    </w:p>
    <w:tbl>
      <w:tblPr>
        <w:tblW w:type="pct" w:w="100%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NFR-PORT-001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platform SHALL run as a </w:t>
            </w:r>
            <w:r>
              <w:rPr>
                <w:b/>
                <w:bCs/>
                <w:color w:val="0D1B2A"/>
              </w:rPr>
              <w:t xml:space="preserve">single container</w:t>
            </w:r>
            <w:r>
              <w:rPr>
                <w:color w:val="0D1B2A"/>
              </w:rPr>
              <w:t xml:space="preserve"> (role-selectable) deployable via docker-compose and Helm, and packageable as a </w:t>
            </w:r>
            <w:r>
              <w:rPr>
                <w:b/>
                <w:bCs/>
                <w:color w:val="0D1B2A"/>
              </w:rPr>
              <w:t xml:space="preserve">Databricks App</w:t>
            </w:r>
            <w:r>
              <w:rPr>
                <w:color w:val="0D1B2A"/>
              </w:rPr>
              <w:t xml:space="preserve">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All three deployment modes start the app.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NFR-PORT-002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First-run SHALL require </w:t>
            </w:r>
            <w:r>
              <w:rPr>
                <w:b/>
                <w:bCs/>
                <w:color w:val="0D1B2A"/>
              </w:rPr>
              <w:t xml:space="preserve">minimal intervention</w:t>
            </w:r>
            <w:r>
              <w:rPr>
                <w:color w:val="0D1B2A"/>
              </w:rPr>
              <w:t xml:space="preserve"> (config + one command; automated migrations + bootstrap).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clean-room install reaches a working state in &lt; 1 hour.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NFR-PORT-003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All external integrations SHALL be behind </w:t>
            </w:r>
            <w:r>
              <w:rPr>
                <w:b/>
                <w:bCs/>
                <w:color w:val="0D1B2A"/>
              </w:rPr>
              <w:t xml:space="preserve">adapters</w:t>
            </w:r>
            <w:r>
              <w:rPr>
                <w:color w:val="0D1B2A"/>
              </w:rPr>
              <w:t xml:space="preserve"> (Git, orchestrator, catalog, IdP, secrets, notifications).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provider can be swapped by configuration/implementation without core changes.</w:t>
            </w:r>
          </w:p>
        </w:tc>
      </w:tr>
    </w:tbl>
    <w:p>
      <w:pPr>
        <w:spacing w:after="120"/>
      </w:pPr>
    </w:p>
    <w:p>
      <w:pPr>
        <w:pStyle w:val="Heading2"/>
        <w:spacing w:after="80" w:before="220"/>
      </w:pPr>
      <w:r>
        <w:rPr>
          <w:b/>
          <w:bCs/>
          <w:color w:val="15756B"/>
        </w:rPr>
        <w:t xml:space="preserve">3.9 Data Management &amp; DR (NFR-DR)</w:t>
      </w:r>
    </w:p>
    <w:tbl>
      <w:tblPr>
        <w:tblW w:type="pct" w:w="100%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NFR-DR-001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Model definitions SHALL survive total platform loss (</w:t>
            </w:r>
            <w:r>
              <w:rPr>
                <w:b/>
                <w:bCs/>
                <w:color w:val="0D1B2A"/>
              </w:rPr>
              <w:t xml:space="preserve">Git is the system of record</w:t>
            </w:r>
            <w:r>
              <w:rPr>
                <w:color w:val="0D1B2A"/>
              </w:rPr>
              <w:t xml:space="preserve">); the projection SHALL be rebuildable from Git.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After wiping the DB, rebuild restores the projection.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NFR-DR-002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Operational state (workflow, audit, runs, lineage) SHALL be </w:t>
            </w:r>
            <w:r>
              <w:rPr>
                <w:b/>
                <w:bCs/>
                <w:color w:val="0D1B2A"/>
              </w:rPr>
              <w:t xml:space="preserve">backed up</w:t>
            </w:r>
            <w:r>
              <w:rPr>
                <w:color w:val="0D1B2A"/>
              </w:rPr>
              <w:t xml:space="preserve"> (PITR); restore SHALL be tested, and the audit chain verified on restore.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restore drill passes with audit-chain integrity intact.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NFR-DR-003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document </w:t>
            </w:r>
            <w:r>
              <w:rPr>
                <w:b/>
                <w:bCs/>
                <w:color w:val="0D1B2A"/>
              </w:rPr>
              <w:t xml:space="preserve">RTO/RPO</w:t>
            </w:r>
            <w:r>
              <w:rPr>
                <w:color w:val="0D1B2A"/>
              </w:rPr>
              <w:t xml:space="preserve"> targets and support multi-region active-passive.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Targets documented; failover procedure validated.</w:t>
            </w:r>
          </w:p>
        </w:tc>
      </w:tr>
    </w:tbl>
    <w:p>
      <w:pPr>
        <w:spacing w:after="120"/>
      </w:pPr>
    </w:p>
    <w:p>
      <w:pPr>
        <w:pStyle w:val="Heading2"/>
        <w:spacing w:after="80" w:before="220"/>
      </w:pPr>
      <w:r>
        <w:rPr>
          <w:b/>
          <w:bCs/>
          <w:color w:val="15756B"/>
        </w:rPr>
        <w:t xml:space="preserve">3.10 Maintainability (NFR-MAINT)</w:t>
      </w:r>
    </w:p>
    <w:tbl>
      <w:tblPr>
        <w:tblW w:type="pct" w:w="100%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NFR-MAINT-001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codebase SHALL be a </w:t>
            </w:r>
            <w:r>
              <w:rPr>
                <w:b/>
                <w:bCs/>
                <w:color w:val="0D1B2A"/>
              </w:rPr>
              <w:t xml:space="preserve">typed monorepo</w:t>
            </w:r>
            <w:r>
              <w:rPr>
                <w:color w:val="0D1B2A"/>
              </w:rPr>
              <w:t xml:space="preserve"> with enforced module boundaries (engine is pure/dependency-light).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Boundary lint + typecheck pass in CI.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NFR-MAINT-002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ship </w:t>
            </w:r>
            <w:r>
              <w:rPr>
                <w:b/>
                <w:bCs/>
                <w:color w:val="0D1B2A"/>
              </w:rPr>
              <w:t xml:space="preserve">automated tests</w:t>
            </w:r>
            <w:r>
              <w:rPr>
                <w:color w:val="0D1B2A"/>
              </w:rPr>
              <w:t xml:space="preserve"> (unit, integration, contract, e2e) and pass them in CI.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CI runs and passes the test suites.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NFR-MAINT-003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DB migrations SHALL be </w:t>
            </w:r>
            <w:r>
              <w:rPr>
                <w:b/>
                <w:bCs/>
                <w:color w:val="0D1B2A"/>
              </w:rPr>
              <w:t xml:space="preserve">forward-only</w:t>
            </w:r>
            <w:r>
              <w:rPr>
                <w:color w:val="0D1B2A"/>
              </w:rPr>
              <w:t xml:space="preserve"> and rolling-upgrade safe for one minor version.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rolling upgrade across one minor succeeds with no downtime.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120"/>
      </w:pPr>
      <w:r>
        <w:rPr>
          <w:b/>
          <w:bCs/>
          <w:color w:val="0D1B2A"/>
        </w:rPr>
        <w:t xml:space="preserve">4. Data Model &amp; Classification Requirements (DR)</w:t>
      </w:r>
    </w:p>
    <w:p>
      <w:pPr>
        <w:spacing w:after="80"/>
      </w:pPr>
      <w:r>
        <w:t xml:space="preserve">These requirements define the metadata domain model and the classification</w:t>
      </w:r>
    </w:p>
    <w:p>
      <w:pPr>
        <w:spacing w:after="80"/>
      </w:pPr>
      <w:r>
        <w:t xml:space="preserve">semantics that flow through the platform.</w:t>
      </w:r>
    </w:p>
    <w:p>
      <w:pPr>
        <w:pStyle w:val="Heading2"/>
        <w:spacing w:after="80" w:before="220"/>
      </w:pPr>
      <w:r>
        <w:rPr>
          <w:b/>
          <w:bCs/>
          <w:color w:val="15756B"/>
        </w:rPr>
        <w:t xml:space="preserve">4.1 Model classes &amp; envelope</w:t>
      </w:r>
    </w:p>
    <w:tbl>
      <w:tblPr>
        <w:tblW w:type="pct" w:w="100%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DR-001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represent </w:t>
            </w:r>
            <w:r>
              <w:rPr>
                <w:b/>
                <w:bCs/>
                <w:color w:val="0D1B2A"/>
              </w:rPr>
              <w:t xml:space="preserve">Source, BDM, PDM, Semantic model, Glossary term, Access policy, DQ contract, and Data product</w:t>
            </w:r>
            <w:r>
              <w:rPr>
                <w:color w:val="0D1B2A"/>
              </w:rPr>
              <w:t xml:space="preserve"> as first-class model classes.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Each class can be created, versioned, and retrieved.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DR-002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Every model SHALL carry a common </w:t>
            </w:r>
            <w:r>
              <w:rPr>
                <w:b/>
                <w:bCs/>
                <w:color w:val="0D1B2A"/>
              </w:rPr>
              <w:t xml:space="preserve">envelope</w:t>
            </w:r>
            <w:r>
              <w:rPr>
                <w:color w:val="0D1B2A"/>
              </w:rPr>
              <w:t xml:space="preserve"> (id, kind, version, status, owner, domain, description, tags, created/updated, last change).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Envelope fields persist and surface in API/registry.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DR-003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BDM fields SHALL carry: name, type, </w:t>
            </w:r>
            <w:r>
              <w:rPr>
                <w:b/>
                <w:bCs/>
                <w:color w:val="0D1B2A"/>
              </w:rPr>
              <w:t xml:space="preserve">classification</w:t>
            </w:r>
            <w:r>
              <w:rPr>
                <w:color w:val="0D1B2A"/>
              </w:rPr>
              <w:t xml:space="preserve">, optional PII, optional MNPI, primary-key flag, optional foreign-key reference, facet flag.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field with these attributes validates and persists.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DR-004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PDM SHALL carry a physical binding: target table, load strategy (full/incremental), partitioning, unique key, and a reference to its BDM.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PDM validates against its BDM and persists the binding.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DR-005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Semantic models SHALL declare dimensions and measures referencing BDM fields/metrics, and the source entities consumed.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References resolve; the model publishes.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DR-006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Each object SHALL have a stable </w:t>
            </w:r>
            <w:r>
              <w:rPr>
                <w:b/>
                <w:bCs/>
                <w:color w:val="0D1B2A"/>
              </w:rPr>
              <w:t xml:space="preserve">URN</w:t>
            </w:r>
            <w:r>
              <w:rPr>
                <w:color w:val="0D1B2A"/>
              </w:rPr>
              <w:t xml:space="preserve"> for cross-reference, lineage, and audit (environment-qualified where relevant).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URNs are unique and resolvable.</w:t>
            </w:r>
          </w:p>
        </w:tc>
      </w:tr>
    </w:tbl>
    <w:p>
      <w:pPr>
        <w:spacing w:after="120"/>
      </w:pPr>
    </w:p>
    <w:p>
      <w:pPr>
        <w:pStyle w:val="Heading2"/>
        <w:spacing w:after="80" w:before="220"/>
      </w:pPr>
      <w:r>
        <w:rPr>
          <w:b/>
          <w:bCs/>
          <w:color w:val="15756B"/>
        </w:rPr>
        <w:t xml:space="preserve">4.2 System of record &amp; projection</w:t>
      </w:r>
    </w:p>
    <w:tbl>
      <w:tblPr>
        <w:tblW w:type="pct" w:w="100%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DR-010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Model definitions SHALL be stored as </w:t>
            </w:r>
            <w:r>
              <w:rPr>
                <w:b/>
                <w:bCs/>
                <w:color w:val="0D1B2A"/>
              </w:rPr>
              <w:t xml:space="preserve">versioned files in Git</w:t>
            </w:r>
            <w:r>
              <w:rPr>
                <w:color w:val="0D1B2A"/>
              </w:rPr>
              <w:t xml:space="preserve"> (the system of record), organized by domain.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Definitions live in the models repo; history is in Git.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DR-011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operational store SHALL hold a </w:t>
            </w:r>
            <w:r>
              <w:rPr>
                <w:b/>
                <w:bCs/>
                <w:color w:val="0D1B2A"/>
              </w:rPr>
              <w:t xml:space="preserve">projection</w:t>
            </w:r>
            <w:r>
              <w:rPr>
                <w:color w:val="0D1B2A"/>
              </w:rPr>
              <w:t xml:space="preserve"> of definitions plus runtime metadata (workflow, runs, lineage, audit); each projection record SHALL carry the source commit it derives from.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Records carry </w:t>
            </w:r>
            <w:r>
              <w:rPr>
                <w:rFonts w:ascii="Consolas" w:cs="Consolas" w:eastAsia="Consolas" w:hAnsi="Consolas"/>
                <w:color w:val="0D1B2A"/>
              </w:rPr>
              <w:t xml:space="preserve">source_sha</w:t>
            </w:r>
            <w:r>
              <w:rPr>
                <w:color w:val="0D1B2A"/>
              </w:rPr>
              <w:t xml:space="preserve">; the projection is rebuildable.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DR-012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committed </w:t>
            </w:r>
            <w:r>
              <w:rPr>
                <w:b/>
                <w:bCs/>
                <w:color w:val="0D1B2A"/>
              </w:rPr>
              <w:t xml:space="preserve">version lockfile</w:t>
            </w:r>
            <w:r>
              <w:rPr>
                <w:color w:val="0D1B2A"/>
              </w:rPr>
              <w:t xml:space="preserve"> SHALL record the registered baseline (version + control surface) per model.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lock reflects live registered state after each merge.</w:t>
            </w:r>
          </w:p>
        </w:tc>
      </w:tr>
    </w:tbl>
    <w:p>
      <w:pPr>
        <w:spacing w:after="120"/>
      </w:pPr>
    </w:p>
    <w:p>
      <w:pPr>
        <w:pStyle w:val="Heading2"/>
        <w:spacing w:after="80" w:before="220"/>
      </w:pPr>
      <w:r>
        <w:rPr>
          <w:b/>
          <w:bCs/>
          <w:color w:val="15756B"/>
        </w:rPr>
        <w:t xml:space="preserve">4.3 Classification &amp; access semantics</w:t>
      </w:r>
    </w:p>
    <w:tbl>
      <w:tblPr>
        <w:tblW w:type="pct" w:w="100%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DR-020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sensitivity tiers SHALL be ordered </w:t>
            </w:r>
            <w:r>
              <w:rPr>
                <w:b/>
                <w:bCs/>
                <w:color w:val="0D1B2A"/>
              </w:rPr>
              <w:t xml:space="preserve">public &lt; internal &lt; confidential &lt; restricted</w:t>
            </w:r>
            <w:r>
              <w:rPr>
                <w:color w:val="0D1B2A"/>
              </w:rPr>
              <w:t xml:space="preserve">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Tier ordering is enforced in access decisions.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DR-021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0D1B2A"/>
              </w:rPr>
              <w:t xml:space="preserve">PII</w:t>
            </w:r>
            <w:r>
              <w:rPr>
                <w:color w:val="0D1B2A"/>
              </w:rPr>
              <w:t xml:space="preserve"> and </w:t>
            </w:r>
            <w:r>
              <w:rPr>
                <w:b/>
                <w:bCs/>
                <w:color w:val="0D1B2A"/>
              </w:rPr>
              <w:t xml:space="preserve">MNPI</w:t>
            </w:r>
            <w:r>
              <w:rPr>
                <w:color w:val="0D1B2A"/>
              </w:rPr>
              <w:t xml:space="preserve"> SHALL be orthogonal handling tags layered on the tier.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field may be any tier with any combination of PII/MNPI.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DR-022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visibility rule SHALL be: visible iff </w:t>
            </w:r>
            <w:r>
              <w:rPr>
                <w:rFonts w:ascii="Consolas" w:cs="Consolas" w:eastAsia="Consolas" w:hAnsi="Consolas"/>
                <w:color w:val="0D1B2A"/>
              </w:rPr>
              <w:t xml:space="preserve">field.tier ≤ role.maxTier</w:t>
            </w:r>
            <w:r>
              <w:rPr>
                <w:color w:val="0D1B2A"/>
              </w:rPr>
              <w:t xml:space="preserve"> AND (</w:t>
            </w:r>
            <w:r>
              <w:rPr>
                <w:rFonts w:ascii="Consolas" w:cs="Consolas" w:eastAsia="Consolas" w:hAnsi="Consolas"/>
                <w:color w:val="0D1B2A"/>
              </w:rPr>
              <w:t xml:space="preserve">¬field.pii ∨ role.pii</w:t>
            </w:r>
            <w:r>
              <w:rPr>
                <w:color w:val="0D1B2A"/>
              </w:rPr>
              <w:t xml:space="preserve">) AND (</w:t>
            </w:r>
            <w:r>
              <w:rPr>
                <w:rFonts w:ascii="Consolas" w:cs="Consolas" w:eastAsia="Consolas" w:hAnsi="Consolas"/>
                <w:color w:val="0D1B2A"/>
              </w:rPr>
              <w:t xml:space="preserve">¬field.mnpi ∨ role.mnpi</w:t>
            </w:r>
            <w:r>
              <w:rPr>
                <w:color w:val="0D1B2A"/>
              </w:rPr>
              <w:t xml:space="preserve">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decision engine matches this rule across all roles in tests.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DR-023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</w:t>
            </w:r>
            <w:r>
              <w:rPr>
                <w:b/>
                <w:bCs/>
                <w:color w:val="0D1B2A"/>
              </w:rPr>
              <w:t xml:space="preserve">restricted</w:t>
            </w:r>
            <w:r>
              <w:rPr>
                <w:color w:val="0D1B2A"/>
              </w:rPr>
              <w:t xml:space="preserve"> field SHALL NOT be exposed as a semantic dimension.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Such a model fails validation.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DR-024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PII/MNPI-tagged field SHALL NOT sit in the most-open tier.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PII field classified </w:t>
            </w:r>
            <w:r>
              <w:rPr>
                <w:rFonts w:ascii="Consolas" w:cs="Consolas" w:eastAsia="Consolas" w:hAnsi="Consolas"/>
                <w:color w:val="0D1B2A"/>
              </w:rPr>
              <w:t xml:space="preserve">public</w:t>
            </w:r>
            <w:r>
              <w:rPr>
                <w:color w:val="0D1B2A"/>
              </w:rPr>
              <w:t xml:space="preserve"> fails governance.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DR-025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model MAY carry </w:t>
            </w:r>
            <w:r>
              <w:rPr>
                <w:b/>
                <w:bCs/>
                <w:color w:val="0D1B2A"/>
              </w:rPr>
              <w:t xml:space="preserve">purpose</w:t>
            </w:r>
            <w:r>
              <w:rPr>
                <w:color w:val="0D1B2A"/>
              </w:rPr>
              <w:t xml:space="preserve"> and </w:t>
            </w:r>
            <w:r>
              <w:rPr>
                <w:b/>
                <w:bCs/>
                <w:color w:val="0D1B2A"/>
              </w:rPr>
              <w:t xml:space="preserve">lawful-basis</w:t>
            </w:r>
            <w:r>
              <w:rPr>
                <w:color w:val="0D1B2A"/>
              </w:rPr>
              <w:t xml:space="preserve"> tags to support privacy (GDPR) workflows.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Tags persist and are available to downstream privacy tooling.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DR-026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Data products/domains MAY declare a </w:t>
            </w:r>
            <w:r>
              <w:rPr>
                <w:b/>
                <w:bCs/>
                <w:color w:val="0D1B2A"/>
              </w:rPr>
              <w:t xml:space="preserve">data-residency region</w:t>
            </w:r>
            <w:r>
              <w:rPr>
                <w:color w:val="0D1B2A"/>
              </w:rPr>
              <w:t xml:space="preserve"> constraining deployment targets.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region-tagged product deploys only to a matching target.</w:t>
            </w:r>
          </w:p>
        </w:tc>
      </w:tr>
    </w:tbl>
    <w:p>
      <w:pPr>
        <w:spacing w:after="120"/>
      </w:pPr>
    </w:p>
    <w:p>
      <w:pPr>
        <w:pStyle w:val="Heading2"/>
        <w:spacing w:after="80" w:before="220"/>
      </w:pPr>
      <w:r>
        <w:rPr>
          <w:b/>
          <w:bCs/>
          <w:color w:val="15756B"/>
        </w:rPr>
        <w:t xml:space="preserve">4.4 Provenance &amp; lineage data</w:t>
      </w:r>
    </w:p>
    <w:tbl>
      <w:tblPr>
        <w:tblW w:type="pct" w:w="100%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DR-030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Lineage SHALL be stored at </w:t>
            </w:r>
            <w:r>
              <w:rPr>
                <w:b/>
                <w:bCs/>
                <w:color w:val="0D1B2A"/>
              </w:rPr>
              <w:t xml:space="preserve">column granularity</w:t>
            </w:r>
            <w:r>
              <w:rPr>
                <w:color w:val="0D1B2A"/>
              </w:rPr>
              <w:t xml:space="preserve"> with both declared (static) and observed (run-time) edges.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Edges carry an observed flag and (where applicable) a run id.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DR-031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Per-field </w:t>
            </w:r>
            <w:r>
              <w:rPr>
                <w:b/>
                <w:bCs/>
                <w:color w:val="0D1B2A"/>
              </w:rPr>
              <w:t xml:space="preserve">provenance</w:t>
            </w:r>
            <w:r>
              <w:rPr>
                <w:color w:val="0D1B2A"/>
              </w:rPr>
              <w:t xml:space="preserve"> (source, confidence, observed-at) SHOULD be representable for derived metadata.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Provenance fields persist where provided.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120"/>
      </w:pPr>
      <w:r>
        <w:rPr>
          <w:b/>
          <w:bCs/>
          <w:color w:val="0D1B2A"/>
        </w:rPr>
        <w:t xml:space="preserve">5. Compliance &amp; Security Requirements (CR)</w:t>
      </w:r>
    </w:p>
    <w:p>
      <w:pPr>
        <w:spacing w:after="80"/>
      </w:pPr>
      <w:r>
        <w:t xml:space="preserve">v1 mandatory bar: </w:t>
      </w:r>
      <w:r>
        <w:rPr>
          <w:b/>
          <w:bCs/>
        </w:rPr>
        <w:t xml:space="preserve">immutable audit + segregation of duties</w:t>
      </w:r>
      <w:r>
        <w:t xml:space="preserve">. GDPR / BCBS 239 /</w:t>
      </w:r>
    </w:p>
    <w:p>
      <w:pPr>
        <w:spacing w:after="80"/>
      </w:pPr>
      <w:r>
        <w:t xml:space="preserve">retention are designed-for and prioritized </w:t>
      </w:r>
      <w:r>
        <w:rPr>
          <w:b/>
          <w:bCs/>
        </w:rPr>
        <w:t xml:space="preserve">Should/Could</w:t>
      </w:r>
      <w:r>
        <w:t xml:space="preserve"> for phased delivery.</w:t>
      </w:r>
    </w:p>
    <w:p>
      <w:pPr>
        <w:pStyle w:val="Heading2"/>
        <w:spacing w:after="80" w:before="220"/>
      </w:pPr>
      <w:r>
        <w:rPr>
          <w:b/>
          <w:bCs/>
          <w:color w:val="15756B"/>
        </w:rPr>
        <w:t xml:space="preserve">5.1 Change control (SOX-style)</w:t>
      </w:r>
    </w:p>
    <w:tbl>
      <w:tblPr>
        <w:tblW w:type="pct" w:w="100%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CR-001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All production-affecting change SHALL pass </w:t>
            </w:r>
            <w:r>
              <w:rPr>
                <w:b/>
                <w:bCs/>
                <w:color w:val="0D1B2A"/>
              </w:rPr>
              <w:t xml:space="preserve">maker/checker</w:t>
            </w:r>
            <w:r>
              <w:rPr>
                <w:color w:val="0D1B2A"/>
              </w:rPr>
              <w:t xml:space="preserve"> with no self-approval.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Self-approval/merge rejected; enforced server-side and via Git branch protection.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CR-002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Approval </w:t>
            </w:r>
            <w:r>
              <w:rPr>
                <w:b/>
                <w:bCs/>
                <w:color w:val="0D1B2A"/>
              </w:rPr>
              <w:t xml:space="preserve">quorum</w:t>
            </w:r>
            <w:r>
              <w:rPr>
                <w:color w:val="0D1B2A"/>
              </w:rPr>
              <w:t xml:space="preserve"> SHALL scale with risk and sensitivity (breaking ⇒ 2 incl. owner; PII/MNPI/policy ⇒ +governance).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Quorum thresholds enforced before approval.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CR-003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complete, immutable </w:t>
            </w:r>
            <w:r>
              <w:rPr>
                <w:b/>
                <w:bCs/>
                <w:color w:val="0D1B2A"/>
              </w:rPr>
              <w:t xml:space="preserve">change history</w:t>
            </w:r>
            <w:r>
              <w:rPr>
                <w:color w:val="0D1B2A"/>
              </w:rPr>
              <w:t xml:space="preserve"> SHALL exist for every model and policy (who, what, when, why, approvals).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History retrievable per object; tamper-evident.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CR-004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Emergency change SHALL use </w:t>
            </w:r>
            <w:r>
              <w:rPr>
                <w:b/>
                <w:bCs/>
                <w:color w:val="0D1B2A"/>
              </w:rPr>
              <w:t xml:space="preserve">break-glass</w:t>
            </w:r>
            <w:r>
              <w:rPr>
                <w:color w:val="0D1B2A"/>
              </w:rPr>
              <w:t xml:space="preserve"> dual-control with reason and time-box, loudly audited.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Break-glass recorded distinctly; alerts raised.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CR-005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per-change </w:t>
            </w:r>
            <w:r>
              <w:rPr>
                <w:b/>
                <w:bCs/>
                <w:color w:val="0D1B2A"/>
              </w:rPr>
              <w:t xml:space="preserve">evidence bundle</w:t>
            </w:r>
            <w:r>
              <w:rPr>
                <w:color w:val="0D1B2A"/>
              </w:rPr>
              <w:t xml:space="preserve"> (diff, gates, approvals, merge commit, lineage) SHALL be exportable for auditors.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An evidence bundle exports on demand for any change.</w:t>
            </w:r>
          </w:p>
        </w:tc>
      </w:tr>
    </w:tbl>
    <w:p>
      <w:pPr>
        <w:spacing w:after="120"/>
      </w:pPr>
    </w:p>
    <w:p>
      <w:pPr>
        <w:pStyle w:val="Heading2"/>
        <w:spacing w:after="80" w:before="220"/>
      </w:pPr>
      <w:r>
        <w:rPr>
          <w:b/>
          <w:bCs/>
          <w:color w:val="15756B"/>
        </w:rPr>
        <w:t xml:space="preserve">5.2 Lineage &amp; data quality (BCBS 239-style)</w:t>
      </w:r>
    </w:p>
    <w:tbl>
      <w:tblPr>
        <w:tblW w:type="pct" w:w="100%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CR-010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End-to-end </w:t>
            </w:r>
            <w:r>
              <w:rPr>
                <w:b/>
                <w:bCs/>
                <w:color w:val="0D1B2A"/>
              </w:rPr>
              <w:t xml:space="preserve">column-level lineage</w:t>
            </w:r>
            <w:r>
              <w:rPr>
                <w:color w:val="0D1B2A"/>
              </w:rPr>
              <w:t xml:space="preserve"> from upstream source to consumption SHALL be available as traceability evidence.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Lineage resolves source→consumer for any served column.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CR-011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0D1B2A"/>
              </w:rPr>
              <w:t xml:space="preserve">Data-quality</w:t>
            </w:r>
            <w:r>
              <w:rPr>
                <w:color w:val="0D1B2A"/>
              </w:rPr>
              <w:t xml:space="preserve"> results SHALL be captured per run and associated with the data product.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DQ pass/fail and freshness are queryable per product.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CR-012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Every data product SHALL have an accountable </w:t>
            </w:r>
            <w:r>
              <w:rPr>
                <w:b/>
                <w:bCs/>
                <w:color w:val="0D1B2A"/>
              </w:rPr>
              <w:t xml:space="preserve">owner</w:t>
            </w:r>
            <w:r>
              <w:rPr>
                <w:color w:val="0D1B2A"/>
              </w:rPr>
              <w:t xml:space="preserve"> and domain.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Ownerless products are reported and blocked from publication.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CR-013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C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</w:t>
            </w:r>
            <w:r>
              <w:rPr>
                <w:b/>
                <w:bCs/>
                <w:color w:val="0D1B2A"/>
              </w:rPr>
              <w:t xml:space="preserve">lineage-completeness</w:t>
            </w:r>
            <w:r>
              <w:rPr>
                <w:color w:val="0D1B2A"/>
              </w:rPr>
              <w:t xml:space="preserve"> score SHOULD be computed and surfaced for governance.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coverage metric is available per domain.</w:t>
            </w:r>
          </w:p>
        </w:tc>
      </w:tr>
    </w:tbl>
    <w:p>
      <w:pPr>
        <w:spacing w:after="120"/>
      </w:pPr>
    </w:p>
    <w:p>
      <w:pPr>
        <w:pStyle w:val="Heading2"/>
        <w:spacing w:after="80" w:before="220"/>
      </w:pPr>
      <w:r>
        <w:rPr>
          <w:b/>
          <w:bCs/>
          <w:color w:val="15756B"/>
        </w:rPr>
        <w:t xml:space="preserve">5.3 Privacy (GDPR / CCPA)</w:t>
      </w:r>
    </w:p>
    <w:tbl>
      <w:tblPr>
        <w:tblW w:type="pct" w:w="100%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CR-020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0D1B2A"/>
              </w:rPr>
              <w:t xml:space="preserve">PII</w:t>
            </w:r>
            <w:r>
              <w:rPr>
                <w:color w:val="0D1B2A"/>
              </w:rPr>
              <w:t xml:space="preserve"> SHALL be identifiable on every field and enforced in access (see DR-021/022).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PII fields are masked per the access rule.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CR-021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C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SHOULD support </w:t>
            </w:r>
            <w:r>
              <w:rPr>
                <w:b/>
                <w:bCs/>
                <w:color w:val="0D1B2A"/>
              </w:rPr>
              <w:t xml:space="preserve">right-to-be-forgotten</w:t>
            </w:r>
            <w:r>
              <w:rPr>
                <w:color w:val="0D1B2A"/>
              </w:rPr>
              <w:t xml:space="preserve"> propagation: given a subject, trace lineage to affected locations and emit downstream delete tasks.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An RTBF request produces a target list via lineage.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CR-022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C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SHOULD enforce </w:t>
            </w:r>
            <w:r>
              <w:rPr>
                <w:b/>
                <w:bCs/>
                <w:color w:val="0D1B2A"/>
              </w:rPr>
              <w:t xml:space="preserve">data residency</w:t>
            </w:r>
            <w:r>
              <w:rPr>
                <w:color w:val="0D1B2A"/>
              </w:rPr>
              <w:t xml:space="preserve"> via region-constrained deployment targets.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Region-tagged products deploy only to matching regions.</w:t>
            </w:r>
          </w:p>
        </w:tc>
      </w:tr>
    </w:tbl>
    <w:p>
      <w:pPr>
        <w:spacing w:after="120"/>
      </w:pPr>
    </w:p>
    <w:p>
      <w:pPr>
        <w:pStyle w:val="Heading2"/>
        <w:spacing w:after="80" w:before="220"/>
      </w:pPr>
      <w:r>
        <w:rPr>
          <w:b/>
          <w:bCs/>
          <w:color w:val="15756B"/>
        </w:rPr>
        <w:t xml:space="preserve">5.4 Records retention &amp; legal hold</w:t>
      </w:r>
    </w:p>
    <w:tbl>
      <w:tblPr>
        <w:tblW w:type="pct" w:w="100%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CR-030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C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SHOULD support configurable </w:t>
            </w:r>
            <w:r>
              <w:rPr>
                <w:b/>
                <w:bCs/>
                <w:color w:val="0D1B2A"/>
              </w:rPr>
              <w:t xml:space="preserve">retention</w:t>
            </w:r>
            <w:r>
              <w:rPr>
                <w:color w:val="0D1B2A"/>
              </w:rPr>
              <w:t xml:space="preserve"> for models, versions, and audit records.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Retention policy is configurable and applied.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CR-031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C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SHOULD support </w:t>
            </w:r>
            <w:r>
              <w:rPr>
                <w:b/>
                <w:bCs/>
                <w:color w:val="0D1B2A"/>
              </w:rPr>
              <w:t xml:space="preserve">legal hold</w:t>
            </w:r>
            <w:r>
              <w:rPr>
                <w:color w:val="0D1B2A"/>
              </w:rPr>
              <w:t xml:space="preserve"> (immutability) and e-discovery export.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Held records cannot be deleted; export produces a signed bundle.</w:t>
            </w:r>
          </w:p>
        </w:tc>
      </w:tr>
    </w:tbl>
    <w:p>
      <w:pPr>
        <w:spacing w:after="120"/>
      </w:pPr>
    </w:p>
    <w:p>
      <w:pPr>
        <w:pStyle w:val="Heading2"/>
        <w:spacing w:after="80" w:before="220"/>
      </w:pPr>
      <w:r>
        <w:rPr>
          <w:b/>
          <w:bCs/>
          <w:color w:val="15756B"/>
        </w:rPr>
        <w:t xml:space="preserve">5.5 Security controls</w:t>
      </w:r>
    </w:p>
    <w:tbl>
      <w:tblPr>
        <w:tblW w:type="pct" w:w="100%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CR-040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Authentication SHALL use the corporate </w:t>
            </w:r>
            <w:r>
              <w:rPr>
                <w:b/>
                <w:bCs/>
                <w:color w:val="0D1B2A"/>
              </w:rPr>
              <w:t xml:space="preserve">IdP (OIDC/SAML)</w:t>
            </w:r>
            <w:r>
              <w:rPr>
                <w:color w:val="0D1B2A"/>
              </w:rPr>
              <w:t xml:space="preserve">; no shadow password store (except a sealed, auto-disabled bootstrap admin).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SSO works; bootstrap admin disables after IdP config.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CR-041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Authorization SHALL be </w:t>
            </w:r>
            <w:r>
              <w:rPr>
                <w:b/>
                <w:bCs/>
                <w:color w:val="0D1B2A"/>
              </w:rPr>
              <w:t xml:space="preserve">RBAC + ABAC</w:t>
            </w:r>
            <w:r>
              <w:rPr>
                <w:color w:val="0D1B2A"/>
              </w:rPr>
              <w:t xml:space="preserve">, deny-by-default, with DB-layer RLS as defence in depth.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Cross-domain/clearance access blocked at app and DB layers.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CR-042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Secrets SHALL be managed externally, </w:t>
            </w:r>
            <w:r>
              <w:rPr>
                <w:b/>
                <w:bCs/>
                <w:color w:val="0D1B2A"/>
              </w:rPr>
              <w:t xml:space="preserve">rotatable without redeploy</w:t>
            </w:r>
            <w:r>
              <w:rPr>
                <w:color w:val="0D1B2A"/>
              </w:rPr>
              <w:t xml:space="preserve">, never in code/Git/logs.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Rotation works; secret scan clean; logs redacted.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CR-043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Outbound dependencies SHALL be </w:t>
            </w:r>
            <w:r>
              <w:rPr>
                <w:b/>
                <w:bCs/>
                <w:color w:val="0D1B2A"/>
              </w:rPr>
              <w:t xml:space="preserve">allow-listed</w:t>
            </w:r>
            <w:r>
              <w:rPr>
                <w:color w:val="0D1B2A"/>
              </w:rPr>
              <w:t xml:space="preserve"> and support private networking (PrivateLink/VNet).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Only required egress is permitted.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CR-044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documented </w:t>
            </w:r>
            <w:r>
              <w:rPr>
                <w:b/>
                <w:bCs/>
                <w:color w:val="0D1B2A"/>
              </w:rPr>
              <w:t xml:space="preserve">threat model</w:t>
            </w:r>
            <w:r>
              <w:rPr>
                <w:color w:val="0D1B2A"/>
              </w:rPr>
              <w:t xml:space="preserve"> (STRIDE) SHALL exist with mitigations tracked.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Threat model reviewed; mitigations mapped to requirements.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CR-045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Webhook payloads SHALL be </w:t>
            </w:r>
            <w:r>
              <w:rPr>
                <w:b/>
                <w:bCs/>
                <w:color w:val="0D1B2A"/>
              </w:rPr>
              <w:t xml:space="preserve">HMAC-signed</w:t>
            </w:r>
            <w:r>
              <w:rPr>
                <w:color w:val="0D1B2A"/>
              </w:rPr>
              <w:t xml:space="preserve">; inbound webhooks SHALL be signature-verified.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Signatures validated end to end.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120"/>
      </w:pPr>
      <w:r>
        <w:rPr>
          <w:b/>
          <w:bCs/>
          <w:color w:val="0D1B2A"/>
        </w:rPr>
        <w:t xml:space="preserve">7. Federated Operating Model Requirements (FR-FG)</w:t>
      </w:r>
    </w:p>
    <w:p>
      <w:pPr>
        <w:spacing w:after="80"/>
      </w:pPr>
      <w:r>
        <w:t xml:space="preserve">Requirements for the </w:t>
      </w:r>
      <w:r>
        <w:rPr>
          <w:b/>
          <w:bCs/>
        </w:rPr>
        <w:t xml:space="preserve">federated governance</w:t>
      </w:r>
      <w:r>
        <w:t xml:space="preserve"> of BDM/PDM creation and change:</w:t>
      </w:r>
    </w:p>
    <w:p>
      <w:pPr>
        <w:spacing w:after="80"/>
      </w:pPr>
      <w:r>
        <w:t xml:space="preserve">domains own and propose; the </w:t>
      </w:r>
      <w:r>
        <w:rPr>
          <w:b/>
          <w:bCs/>
        </w:rPr>
        <w:t xml:space="preserve">Chief Data Architect (CDA)</w:t>
      </w:r>
      <w:r>
        <w:t xml:space="preserve"> signs off on</w:t>
      </w:r>
    </w:p>
    <w:p>
      <w:pPr>
        <w:spacing w:after="80"/>
      </w:pPr>
      <w:r>
        <w:t xml:space="preserve">enterprise-significant change. Companion to the operating-model proposal</w:t>
      </w:r>
    </w:p>
    <w:p>
      <w:pPr>
        <w:spacing w:after="80"/>
      </w:pPr>
      <w:r>
        <w:t xml:space="preserve">([</w:t>
      </w:r>
      <w:r>
        <w:rPr>
          <w:rFonts w:ascii="Consolas" w:cs="Consolas" w:eastAsia="Consolas" w:hAnsi="Consolas"/>
        </w:rPr>
        <w:t xml:space="preserve">../operating-model/FEDERATED-OPERATING-MODEL.md</w:t>
      </w:r>
      <w:r>
        <w:t xml:space="preserve">](../operating-model/FEDERATED-OPERATING-MODEL.md)).</w:t>
      </w:r>
    </w:p>
    <w:p>
      <w:pPr>
        <w:spacing w:after="80"/>
      </w:pPr>
      <w:r>
        <w:t xml:space="preserve">Priority: </w:t>
      </w:r>
      <w:r>
        <w:rPr>
          <w:b/>
          <w:bCs/>
        </w:rPr>
        <w:t xml:space="preserve">M</w:t>
      </w:r>
      <w:r>
        <w:t xml:space="preserve">ust / </w:t>
      </w:r>
      <w:r>
        <w:rPr>
          <w:b/>
          <w:bCs/>
        </w:rPr>
        <w:t xml:space="preserve">S</w:t>
      </w:r>
      <w:r>
        <w:t xml:space="preserve">hould / </w:t>
      </w:r>
      <w:r>
        <w:rPr>
          <w:b/>
          <w:bCs/>
        </w:rPr>
        <w:t xml:space="preserve">C</w:t>
      </w:r>
      <w:r>
        <w:t xml:space="preserve">ould.</w:t>
      </w:r>
    </w:p>
    <w:p>
      <w:pPr>
        <w:pStyle w:val="Heading2"/>
        <w:spacing w:after="80" w:before="220"/>
      </w:pPr>
      <w:r>
        <w:rPr>
          <w:b/>
          <w:bCs/>
          <w:color w:val="15756B"/>
        </w:rPr>
        <w:t xml:space="preserve">7.1 Domains &amp; ownership</w:t>
      </w:r>
    </w:p>
    <w:tbl>
      <w:tblPr>
        <w:tblW w:type="pct" w:w="100%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FR-FG-001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represent </w:t>
            </w:r>
            <w:r>
              <w:rPr>
                <w:b/>
                <w:bCs/>
                <w:color w:val="0D1B2A"/>
              </w:rPr>
              <w:t xml:space="preserve">domains</w:t>
            </w:r>
            <w:r>
              <w:rPr>
                <w:color w:val="0D1B2A"/>
              </w:rPr>
              <w:t xml:space="preserve"> as first-class objects with an owner group, description, and SLAs.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domain can be created with an owner group; models belong to a domain.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FR-FG-002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Every model SHALL belong to exactly one </w:t>
            </w:r>
            <w:r>
              <w:rPr>
                <w:b/>
                <w:bCs/>
                <w:color w:val="0D1B2A"/>
              </w:rPr>
              <w:t xml:space="preserve">owning domain</w:t>
            </w:r>
            <w:r>
              <w:rPr>
                <w:color w:val="0D1B2A"/>
              </w:rPr>
              <w:t xml:space="preserve">; domain ownership SHALL be expressed as data (</w:t>
            </w:r>
            <w:r>
              <w:rPr>
                <w:rFonts w:ascii="Consolas" w:cs="Consolas" w:eastAsia="Consolas" w:hAnsi="Consolas"/>
                <w:color w:val="0D1B2A"/>
              </w:rPr>
              <w:t xml:space="preserve">domain.yaml</w:t>
            </w:r>
            <w:r>
              <w:rPr>
                <w:color w:val="0D1B2A"/>
              </w:rPr>
              <w:t xml:space="preserve"> + </w:t>
            </w:r>
            <w:r>
              <w:rPr>
                <w:rFonts w:ascii="Consolas" w:cs="Consolas" w:eastAsia="Consolas" w:hAnsi="Consolas"/>
                <w:color w:val="0D1B2A"/>
              </w:rPr>
              <w:t xml:space="preserve">CODEOWNERS</w:t>
            </w:r>
            <w:r>
              <w:rPr>
                <w:color w:val="0D1B2A"/>
              </w:rPr>
              <w:t xml:space="preserve"> + IdP-group mapping).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model's domain and steward group are resolvable from configuration.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FR-FG-003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route a ChangeSet's </w:t>
            </w:r>
            <w:r>
              <w:rPr>
                <w:b/>
                <w:bCs/>
                <w:color w:val="0D1B2A"/>
              </w:rPr>
              <w:t xml:space="preserve">domain-tier reviewers</w:t>
            </w:r>
            <w:r>
              <w:rPr>
                <w:color w:val="0D1B2A"/>
              </w:rPr>
              <w:t xml:space="preserve"> automatically from the owning domain's steward group.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Reviewers are assigned from the correct domain on propose.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FR-FG-004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Models SHALL carry a </w:t>
            </w:r>
            <w:r>
              <w:rPr>
                <w:b/>
                <w:bCs/>
                <w:color w:val="0D1B2A"/>
              </w:rPr>
              <w:t xml:space="preserve">scope</w:t>
            </w:r>
            <w:r>
              <w:rPr>
                <w:color w:val="0D1B2A"/>
              </w:rPr>
              <w:t xml:space="preserve">: </w:t>
            </w:r>
            <w:r>
              <w:rPr>
                <w:rFonts w:ascii="Consolas" w:cs="Consolas" w:eastAsia="Consolas" w:hAnsi="Consolas"/>
                <w:color w:val="0D1B2A"/>
              </w:rPr>
              <w:t xml:space="preserve">domain</w:t>
            </w:r>
            <w:r>
              <w:rPr>
                <w:color w:val="0D1B2A"/>
              </w:rPr>
              <w:t xml:space="preserve">, </w:t>
            </w:r>
            <w:r>
              <w:rPr>
                <w:rFonts w:ascii="Consolas" w:cs="Consolas" w:eastAsia="Consolas" w:hAnsi="Consolas"/>
                <w:color w:val="0D1B2A"/>
              </w:rPr>
              <w:t xml:space="preserve">shared</w:t>
            </w:r>
            <w:r>
              <w:rPr>
                <w:color w:val="0D1B2A"/>
              </w:rPr>
              <w:t xml:space="preserve">, or </w:t>
            </w:r>
            <w:r>
              <w:rPr>
                <w:rFonts w:ascii="Consolas" w:cs="Consolas" w:eastAsia="Consolas" w:hAnsi="Consolas"/>
                <w:color w:val="0D1B2A"/>
              </w:rPr>
              <w:t xml:space="preserve">enterprise</w:t>
            </w:r>
            <w:r>
              <w:rPr>
                <w:color w:val="0D1B2A"/>
              </w:rPr>
              <w:t xml:space="preserve">. </w:t>
            </w:r>
            <w:r>
              <w:rPr>
                <w:rFonts w:ascii="Consolas" w:cs="Consolas" w:eastAsia="Consolas" w:hAnsi="Consolas"/>
                <w:color w:val="0D1B2A"/>
              </w:rPr>
              <w:t xml:space="preserve">shared</w:t>
            </w:r>
            <w:r>
              <w:rPr>
                <w:color w:val="0D1B2A"/>
              </w:rPr>
              <w:t xml:space="preserve">/</w:t>
            </w:r>
            <w:r>
              <w:rPr>
                <w:rFonts w:ascii="Consolas" w:cs="Consolas" w:eastAsia="Consolas" w:hAnsi="Consolas"/>
                <w:color w:val="0D1B2A"/>
              </w:rPr>
              <w:t xml:space="preserve">enterprise</w:t>
            </w:r>
            <w:r>
              <w:rPr>
                <w:color w:val="0D1B2A"/>
              </w:rPr>
              <w:t xml:space="preserve"> models are governed centrally (CDA).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model's scope persists and drives routing.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FR-FG-005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provide a </w:t>
            </w:r>
            <w:r>
              <w:rPr>
                <w:b/>
                <w:bCs/>
                <w:color w:val="0D1B2A"/>
              </w:rPr>
              <w:t xml:space="preserve">federation registry</w:t>
            </w:r>
            <w:r>
              <w:rPr>
                <w:color w:val="0D1B2A"/>
              </w:rPr>
              <w:t xml:space="preserve">: domains, owners, conformed/shared models, and pending sign-offs.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registry lists domains, owners, and shared models.</w:t>
            </w:r>
          </w:p>
        </w:tc>
      </w:tr>
    </w:tbl>
    <w:p>
      <w:pPr>
        <w:spacing w:after="120"/>
      </w:pPr>
    </w:p>
    <w:p>
      <w:pPr>
        <w:pStyle w:val="Heading2"/>
        <w:spacing w:after="80" w:before="220"/>
      </w:pPr>
      <w:r>
        <w:rPr>
          <w:b/>
          <w:bCs/>
          <w:color w:val="15756B"/>
        </w:rPr>
        <w:t xml:space="preserve">7.2 Roles &amp; decision rights</w:t>
      </w:r>
    </w:p>
    <w:tbl>
      <w:tblPr>
        <w:tblW w:type="pct" w:w="100%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FR-FG-010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provide a </w:t>
            </w:r>
            <w:r>
              <w:rPr>
                <w:b/>
                <w:bCs/>
                <w:color w:val="0D1B2A"/>
              </w:rPr>
              <w:t xml:space="preserve">Chief Data Architect (CDA)</w:t>
            </w:r>
            <w:r>
              <w:rPr>
                <w:color w:val="0D1B2A"/>
              </w:rPr>
              <w:t xml:space="preserve"> role with org-wide approval authority and standards-administration capability.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CDA can sign off on any domain's enterprise-significant change and edit enterprise standards.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FR-FG-011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support an </w:t>
            </w:r>
            <w:r>
              <w:rPr>
                <w:b/>
                <w:bCs/>
                <w:color w:val="0D1B2A"/>
              </w:rPr>
              <w:t xml:space="preserve">Architecture Review Board (ARB)</w:t>
            </w:r>
            <w:r>
              <w:rPr>
                <w:color w:val="0D1B2A"/>
              </w:rPr>
              <w:t xml:space="preserve"> role to which the CDA MAY delegate sign-off by quorum.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An ARB quorum can provide the enterprise sign-off when delegated.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FR-FG-012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0D1B2A"/>
              </w:rPr>
              <w:t xml:space="preserve">Domain Steward / Owner</w:t>
            </w:r>
            <w:r>
              <w:rPr>
                <w:color w:val="0D1B2A"/>
              </w:rPr>
              <w:t xml:space="preserve"> roles SHALL be </w:t>
            </w:r>
            <w:r>
              <w:rPr>
                <w:b/>
                <w:bCs/>
                <w:color w:val="0D1B2A"/>
              </w:rPr>
              <w:t xml:space="preserve">domain-scoped</w:t>
            </w:r>
            <w:r>
              <w:rPr>
                <w:color w:val="0D1B2A"/>
              </w:rPr>
              <w:t xml:space="preserve">: a steward approves only within their domain.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steward cannot approve changes outside their domain.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FR-FG-013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Segregation of duties SHALL apply at </w:t>
            </w:r>
            <w:r>
              <w:rPr>
                <w:b/>
                <w:bCs/>
                <w:color w:val="0D1B2A"/>
              </w:rPr>
              <w:t xml:space="preserve">every tier</w:t>
            </w:r>
            <w:r>
              <w:rPr>
                <w:color w:val="0D1B2A"/>
              </w:rPr>
              <w:t xml:space="preserve">: the proposer cannot provide domain approval or CDA sign-off for the same change.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Self-approval at any tier is rejected.</w:t>
            </w:r>
          </w:p>
        </w:tc>
      </w:tr>
    </w:tbl>
    <w:p>
      <w:pPr>
        <w:spacing w:after="120"/>
      </w:pPr>
    </w:p>
    <w:p>
      <w:pPr>
        <w:pStyle w:val="Heading2"/>
        <w:spacing w:after="80" w:before="220"/>
      </w:pPr>
      <w:r>
        <w:rPr>
          <w:b/>
          <w:bCs/>
          <w:color w:val="15756B"/>
        </w:rPr>
        <w:t xml:space="preserve">7.3 Approval routing &amp; enterprise sign-off</w:t>
      </w:r>
    </w:p>
    <w:tbl>
      <w:tblPr>
        <w:tblW w:type="pct" w:w="100%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FR-FG-020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compute required approvals from a </w:t>
            </w:r>
            <w:r>
              <w:rPr>
                <w:b/>
                <w:bCs/>
                <w:color w:val="0D1B2A"/>
              </w:rPr>
              <w:t xml:space="preserve">configurable routing policy</w:t>
            </w:r>
            <w:r>
              <w:rPr>
                <w:color w:val="0D1B2A"/>
              </w:rPr>
              <w:t xml:space="preserve"> over change attributes (model kind, severity, scope, classification delta, cross-domain).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Changing the policy changes the required approvers without code changes.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FR-FG-021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routing policy SHALL require </w:t>
            </w:r>
            <w:r>
              <w:rPr>
                <w:b/>
                <w:bCs/>
                <w:color w:val="0D1B2A"/>
              </w:rPr>
              <w:t xml:space="preserve">CDA sign-off</w:t>
            </w:r>
            <w:r>
              <w:rPr>
                <w:color w:val="0D1B2A"/>
              </w:rPr>
              <w:t xml:space="preserve"> by default when a change: touches a </w:t>
            </w:r>
            <w:r>
              <w:rPr>
                <w:b/>
                <w:bCs/>
                <w:color w:val="0D1B2A"/>
              </w:rPr>
              <w:t xml:space="preserve">BDM</w:t>
            </w:r>
            <w:r>
              <w:rPr>
                <w:color w:val="0D1B2A"/>
              </w:rPr>
              <w:t xml:space="preserve">, is </w:t>
            </w:r>
            <w:r>
              <w:rPr>
                <w:b/>
                <w:bCs/>
                <w:color w:val="0D1B2A"/>
              </w:rPr>
              <w:t xml:space="preserve">breaking/major</w:t>
            </w:r>
            <w:r>
              <w:rPr>
                <w:color w:val="0D1B2A"/>
              </w:rPr>
              <w:t xml:space="preserve">, adds/changes a </w:t>
            </w:r>
            <w:r>
              <w:rPr>
                <w:b/>
                <w:bCs/>
                <w:color w:val="0D1B2A"/>
              </w:rPr>
              <w:t xml:space="preserve">cross-domain</w:t>
            </w:r>
            <w:r>
              <w:rPr>
                <w:color w:val="0D1B2A"/>
              </w:rPr>
              <w:t xml:space="preserve"> reference, introduces a </w:t>
            </w:r>
            <w:r>
              <w:rPr>
                <w:b/>
                <w:bCs/>
                <w:color w:val="0D1B2A"/>
              </w:rPr>
              <w:t xml:space="preserve">new entity</w:t>
            </w:r>
            <w:r>
              <w:rPr>
                <w:color w:val="0D1B2A"/>
              </w:rPr>
              <w:t xml:space="preserve">, alters </w:t>
            </w:r>
            <w:r>
              <w:rPr>
                <w:b/>
                <w:bCs/>
                <w:color w:val="0D1B2A"/>
              </w:rPr>
              <w:t xml:space="preserve">classification</w:t>
            </w:r>
            <w:r>
              <w:rPr>
                <w:color w:val="0D1B2A"/>
              </w:rPr>
              <w:t xml:space="preserve">, or affects a </w:t>
            </w:r>
            <w:r>
              <w:rPr>
                <w:b/>
                <w:bCs/>
                <w:color w:val="0D1B2A"/>
              </w:rPr>
              <w:t xml:space="preserve">shared/enterprise</w:t>
            </w:r>
            <w:r>
              <w:rPr>
                <w:color w:val="0D1B2A"/>
              </w:rPr>
              <w:t xml:space="preserve"> model.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Each listed condition triggers a required CDA sign-off; others do not.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FR-FG-022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Routine, in-domain change (PDM tuning, docs, minor additive) SHALL be </w:t>
            </w:r>
            <w:r>
              <w:rPr>
                <w:b/>
                <w:bCs/>
                <w:color w:val="0D1B2A"/>
              </w:rPr>
              <w:t xml:space="preserve">approvable at the domain tier alone</w:t>
            </w:r>
            <w:r>
              <w:rPr>
                <w:color w:val="0D1B2A"/>
              </w:rPr>
              <w:t xml:space="preserve"> (autonomy within guardrails).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An in-domain patch merges with domain approval only.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FR-FG-023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ChangeSet requiring enterprise sign-off SHALL </w:t>
            </w:r>
            <w:r>
              <w:rPr>
                <w:b/>
                <w:bCs/>
                <w:color w:val="0D1B2A"/>
              </w:rPr>
              <w:t xml:space="preserve">escalate to the CDA review queue</w:t>
            </w:r>
            <w:r>
              <w:rPr>
                <w:color w:val="0D1B2A"/>
              </w:rPr>
              <w:t xml:space="preserve"> after domain approval and SHALL NOT merge until signed off.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change cannot merge without the CDA sign-off recorded.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FR-FG-024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provide a </w:t>
            </w:r>
            <w:r>
              <w:rPr>
                <w:b/>
                <w:bCs/>
                <w:color w:val="0D1B2A"/>
              </w:rPr>
              <w:t xml:space="preserve">CDA review queue / dashboard</w:t>
            </w:r>
            <w:r>
              <w:rPr>
                <w:color w:val="0D1B2A"/>
              </w:rPr>
              <w:t xml:space="preserve"> showing pending enterprise sign-offs across all domains, with change scope, impact, and gate status.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CDA sees all pending enterprise approvals in one place.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FR-FG-025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apply </w:t>
            </w:r>
            <w:r>
              <w:rPr>
                <w:b/>
                <w:bCs/>
                <w:color w:val="0D1B2A"/>
              </w:rPr>
              <w:t xml:space="preserve">review SLAs</w:t>
            </w:r>
            <w:r>
              <w:rPr>
                <w:color w:val="0D1B2A"/>
              </w:rPr>
              <w:t xml:space="preserve"> per tier and </w:t>
            </w:r>
            <w:r>
              <w:rPr>
                <w:b/>
                <w:bCs/>
                <w:color w:val="0D1B2A"/>
              </w:rPr>
              <w:t xml:space="preserve">escalate</w:t>
            </w:r>
            <w:r>
              <w:rPr>
                <w:color w:val="0D1B2A"/>
              </w:rPr>
              <w:t xml:space="preserve"> stale enterprise sign-offs (reminder → ARB → delegate).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stale sign-off triggers escalation per policy.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FR-FG-026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C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CDA SHALL be able to </w:t>
            </w:r>
            <w:r>
              <w:rPr>
                <w:b/>
                <w:bCs/>
                <w:color w:val="0D1B2A"/>
              </w:rPr>
              <w:t xml:space="preserve">delegate</w:t>
            </w:r>
            <w:r>
              <w:rPr>
                <w:color w:val="0D1B2A"/>
              </w:rPr>
              <w:t xml:space="preserve"> specified change classes to the domain tier (graduated autonomy), recorded and audited.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delegated class no longer requires CDA sign-off after the policy change.</w:t>
            </w:r>
          </w:p>
        </w:tc>
      </w:tr>
    </w:tbl>
    <w:p>
      <w:pPr>
        <w:spacing w:after="120"/>
      </w:pPr>
    </w:p>
    <w:p>
      <w:pPr>
        <w:pStyle w:val="Heading2"/>
        <w:spacing w:after="80" w:before="220"/>
      </w:pPr>
      <w:r>
        <w:rPr>
          <w:b/>
          <w:bCs/>
          <w:color w:val="15756B"/>
        </w:rPr>
        <w:t xml:space="preserve">7.4 Enterprise standards as code</w:t>
      </w:r>
    </w:p>
    <w:tbl>
      <w:tblPr>
        <w:tblW w:type="pct" w:w="100%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FR-FG-030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Enterprise modeling </w:t>
            </w:r>
            <w:r>
              <w:rPr>
                <w:b/>
                <w:bCs/>
                <w:color w:val="0D1B2A"/>
              </w:rPr>
              <w:t xml:space="preserve">standards</w:t>
            </w:r>
            <w:r>
              <w:rPr>
                <w:color w:val="0D1B2A"/>
              </w:rPr>
              <w:t xml:space="preserve"> SHALL be enforced as </w:t>
            </w:r>
            <w:r>
              <w:rPr>
                <w:b/>
                <w:bCs/>
                <w:color w:val="0D1B2A"/>
              </w:rPr>
              <w:t xml:space="preserve">automated gates</w:t>
            </w:r>
            <w:r>
              <w:rPr>
                <w:color w:val="0D1B2A"/>
              </w:rPr>
              <w:t xml:space="preserve"> (naming, classification coverage, semver discipline, cross-domain integrity) in both the ChangeSet pipeline and the models-repo CI.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Non-compliant change fails the relevant gate with detail.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FR-FG-031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</w:t>
            </w:r>
            <w:r>
              <w:rPr>
                <w:b/>
                <w:bCs/>
                <w:color w:val="0D1B2A"/>
              </w:rPr>
              <w:t xml:space="preserve">flag duplication</w:t>
            </w:r>
            <w:r>
              <w:rPr>
                <w:color w:val="0D1B2A"/>
              </w:rPr>
              <w:t xml:space="preserve">: a new entity overlapping a conformed/shared model SHALL be surfaced for reuse before approval.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near-duplicate entity raises a reuse warning on the ChangeSet.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FR-FG-032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Only the </w:t>
            </w:r>
            <w:r>
              <w:rPr>
                <w:b/>
                <w:bCs/>
                <w:color w:val="0D1B2A"/>
              </w:rPr>
              <w:t xml:space="preserve">CDA</w:t>
            </w:r>
            <w:r>
              <w:rPr>
                <w:color w:val="0D1B2A"/>
              </w:rPr>
              <w:t xml:space="preserve"> (or delegated ARB) SHALL be able to create or evolve </w:t>
            </w:r>
            <w:r>
              <w:rPr>
                <w:b/>
                <w:bCs/>
                <w:color w:val="0D1B2A"/>
              </w:rPr>
              <w:t xml:space="preserve">`shared`/`enterprise`-scope</w:t>
            </w:r>
            <w:r>
              <w:rPr>
                <w:color w:val="0D1B2A"/>
              </w:rPr>
              <w:t xml:space="preserve"> models (conformed-model protection).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 domain steward cannot merge a change to a shared model without CDA sign-off.</w:t>
            </w:r>
          </w:p>
        </w:tc>
      </w:tr>
    </w:tbl>
    <w:p>
      <w:pPr>
        <w:spacing w:after="120"/>
      </w:pPr>
    </w:p>
    <w:p>
      <w:pPr>
        <w:pStyle w:val="Heading2"/>
        <w:spacing w:after="80" w:before="220"/>
      </w:pPr>
      <w:r>
        <w:rPr>
          <w:b/>
          <w:bCs/>
          <w:color w:val="15756B"/>
        </w:rPr>
        <w:t xml:space="preserve">7.5 Accountability</w:t>
      </w:r>
    </w:p>
    <w:tbl>
      <w:tblPr>
        <w:tblW w:type="pct" w:w="100%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FR-FG-040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audit trail SHALL record, for every BDM/PDM change, the </w:t>
            </w:r>
            <w:r>
              <w:rPr>
                <w:b/>
                <w:bCs/>
                <w:color w:val="0D1B2A"/>
              </w:rPr>
              <w:t xml:space="preserve">domain proposer, domain approver(s), and CDA sign-off</w:t>
            </w:r>
            <w:r>
              <w:rPr>
                <w:color w:val="0D1B2A"/>
              </w:rPr>
              <w:t xml:space="preserve"> (where applicable).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audit/evidence bundle shows both tiers for a governed change.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FR-FG-041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S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The system SHALL produce a </w:t>
            </w:r>
            <w:r>
              <w:rPr>
                <w:b/>
                <w:bCs/>
                <w:color w:val="0D1B2A"/>
              </w:rPr>
              <w:t xml:space="preserve">per-change evidence bundle</w:t>
            </w:r>
            <w:r>
              <w:rPr>
                <w:color w:val="0D1B2A"/>
              </w:rPr>
              <w:t xml:space="preserve"> evidencing the federated approval chain.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An evidence bundle exports showing the full approval chain.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120"/>
      </w:pPr>
      <w:r>
        <w:rPr>
          <w:b/>
          <w:bCs/>
          <w:color w:val="0D1B2A"/>
        </w:rPr>
        <w:t xml:space="preserve">6. Traceability Matrix</w:t>
      </w:r>
    </w:p>
    <w:p>
      <w:pPr>
        <w:spacing w:after="80"/>
      </w:pPr>
      <w:r>
        <w:t xml:space="preserve">Maps requirement groups → build phase (see the [project plan](../project-plan/PROJECT-PLAN.md))</w:t>
      </w:r>
    </w:p>
    <w:p>
      <w:pPr>
        <w:spacing w:after="80"/>
      </w:pPr>
      <w:r>
        <w:t xml:space="preserve">→ Jira epic (see the [delivery backlog](../delivery/jira-stories.md)). This lets the</w:t>
      </w:r>
    </w:p>
    <w:p>
      <w:pPr>
        <w:spacing w:after="80"/>
      </w:pPr>
      <w:r>
        <w:t xml:space="preserve">team prove coverage: every requirement is realized by a phase and tracked by a story.</w:t>
      </w:r>
    </w:p>
    <w:p>
      <w:pPr>
        <w:pStyle w:val="Heading2"/>
        <w:spacing w:after="80" w:before="220"/>
      </w:pPr>
      <w:r>
        <w:rPr>
          <w:b/>
          <w:bCs/>
          <w:color w:val="15756B"/>
        </w:rPr>
        <w:t xml:space="preserve">6.1 Build phases</w:t>
      </w:r>
    </w:p>
    <w:tbl>
      <w:tblPr>
        <w:tblW w:type="pct" w:w="100%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Name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P0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Monorepo foundation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P1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GitOps spine (reconciler, projection, read API)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P2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Catalog, publication, UI, SDK/CLI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P3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Identity &amp; access (RBAC/ABAC)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P4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Governance &amp; workflow (maker/checker, audit)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P5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Orchestration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P6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Lineage &amp; Unity Catalog sync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P7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Events, webhooks, subscriptions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P8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Hardening, packaging, operations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P9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Compliance packs (GDPR / BCBS 239 / retention) — post-GA</w:t>
            </w:r>
          </w:p>
        </w:tc>
      </w:tr>
    </w:tbl>
    <w:p>
      <w:pPr>
        <w:spacing w:after="120"/>
      </w:pPr>
    </w:p>
    <w:p>
      <w:pPr>
        <w:pStyle w:val="Heading2"/>
        <w:spacing w:after="80" w:before="220"/>
      </w:pPr>
      <w:r>
        <w:rPr>
          <w:b/>
          <w:bCs/>
          <w:color w:val="15756B"/>
        </w:rPr>
        <w:t xml:space="preserve">6.2 Epics</w:t>
      </w:r>
    </w:p>
    <w:tbl>
      <w:tblPr>
        <w:tblW w:type="pct" w:w="100%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Epic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Title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DCT-EP01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Platform foundation &amp; monorepo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DCT-EP02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GitOps spine &amp; projection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DCT-EP03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Catalog, publication &amp; consumption (UI/SDK/CLI)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DCT-EP04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Identity, RBAC &amp; ABAC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DCT-EP05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Governance, approvals &amp; immutable audit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DCT-EP06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Pipeline orchestration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DCT-EP07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Lineage &amp; Unity Catalog integration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DCT-EP08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Events, webhooks &amp; subscriptions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DCT-EP09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Packaging, security hardening &amp; operations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DCT-EP10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Compliance packs (privacy, BCBS 239, retention)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DCT-EP11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Federated operating model &amp; enterprise (CDA) sign-off</w:t>
            </w:r>
          </w:p>
        </w:tc>
      </w:tr>
    </w:tbl>
    <w:p>
      <w:pPr>
        <w:spacing w:after="120"/>
      </w:pPr>
    </w:p>
    <w:p>
      <w:pPr>
        <w:pStyle w:val="Heading2"/>
        <w:spacing w:after="80" w:before="220"/>
      </w:pPr>
      <w:r>
        <w:rPr>
          <w:b/>
          <w:bCs/>
          <w:color w:val="15756B"/>
        </w:rPr>
        <w:t xml:space="preserve">6.3 Requirement → phase → epic</w:t>
      </w:r>
    </w:p>
    <w:tbl>
      <w:tblPr>
        <w:tblW w:type="pct" w:w="100%"/>
        <w:tblBorders>
          <w:top w:val="single" w:color="D9D5CD" w:sz="2"/>
          <w:left w:val="single" w:color="D9D5CD" w:sz="2"/>
          <w:bottom w:val="single" w:color="D9D5CD" w:sz="2"/>
          <w:right w:val="single" w:color="D9D5CD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Requirement group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0D1B2A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Epic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FR-MM Model management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P1–P2, P4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DCT-EP02, DCT-EP03, DCT-EP05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FR-GV Governance &amp; workflow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P4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DCT-EP05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FR-OR Orchestration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P5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DCT-EP06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FR-LN Lineage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P6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DCT-EP07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FR-CP Catalog &amp; publication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P2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DCT-EP03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FR-AX Access &amp; classification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P3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DCT-EP04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FR-IN Integration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P1, P3, P6, P7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DCT-EP02, DCT-EP04, DCT-EP07, DCT-EP08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FR-CN Consumption (API/SDK/CLI)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P2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DCT-EP03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FR-UI User interface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P2, P4, P5, P6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DCT-EP03, DCT-EP05, DCT-EP06, DCT-EP07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FR-AD Administration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P3, P8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DCT-EP04, DCT-EP09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DR Data &amp; classification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P1, P3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DCT-EP02, DCT-EP04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NFR Non-functional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P0, P8 (cross-cutting)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DCT-EP01, DCT-EP09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CR Change control / audit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P4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DCT-EP05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CR Lineage/DQ, privacy, retention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P6, P9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color="F1EFE9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DCT-EP07, DCT-EP10</w:t>
            </w:r>
          </w:p>
        </w:tc>
      </w:tr>
      <w:tr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FR-FG Federated governance (domain ownership, CDA sign-off, routing)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P3–P4</w:t>
            </w:r>
          </w:p>
        </w:tc>
        <w:tc>
          <w:tcPr>
            <w:tcW w:type="auto" w:w="1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0D1B2A"/>
              </w:rPr>
              <w:t xml:space="preserve">DCT-EP11 (with DCT-EP04, DCT-EP05)</w:t>
            </w:r>
          </w:p>
        </w:tc>
      </w:tr>
    </w:tbl>
    <w:p>
      <w:pPr>
        <w:spacing w:after="120"/>
      </w:pPr>
    </w:p>
    <w:p>
      <w:pPr>
        <w:pStyle w:val="Heading2"/>
        <w:spacing w:after="80" w:before="220"/>
      </w:pPr>
      <w:r>
        <w:rPr>
          <w:b/>
          <w:bCs/>
          <w:color w:val="15756B"/>
        </w:rPr>
        <w:t xml:space="preserve">6.4 Coverage check</w:t>
      </w:r>
    </w:p>
    <w:p>
      <w:pPr>
        <w:spacing w:after="80"/>
      </w:pPr>
      <w:r>
        <w:t xml:space="preserve">Every FR/NFR/DR/CR in this set maps to at least one phase and one epic above.</w:t>
      </w:r>
    </w:p>
    <w:p>
      <w:pPr>
        <w:spacing w:after="80"/>
      </w:pPr>
      <w:r>
        <w:t xml:space="preserve">During delivery, link each Jira story to its requirement IDs so the matrix can be</w:t>
      </w:r>
    </w:p>
    <w:p>
      <w:pPr>
        <w:spacing w:after="80"/>
      </w:pPr>
      <w:r>
        <w:t xml:space="preserve">regenerated and gaps surfaced automatically.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D1B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DEAL Control Tower — SRS</dc:title>
  <dc:creator>DEAL Control Tower</dc:creator>
  <cp:lastModifiedBy>Un-named</cp:lastModifiedBy>
  <cp:revision>1</cp:revision>
  <dcterms:created xsi:type="dcterms:W3CDTF">2026-06-21T01:45:15.200Z</dcterms:created>
  <dcterms:modified xsi:type="dcterms:W3CDTF">2026-06-21T01:45:15.201Z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