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5893F" w:sz="18"/>
        </w:pBdr>
        <w:shd w:fill="0D1B2A" w:val="clear"/>
        <w:spacing w:after="0" w:before="0" w:line="260" w:lineRule="auto"/>
      </w:pPr>
      <w:r>
        <w:rPr>
          <w:rFonts w:ascii="Georgia" w:cs="Georgia" w:eastAsia="Georgia" w:hAnsi="Georgia"/>
          <w:b/>
          <w:bCs/>
          <w:color w:val="FFFFFF"/>
          <w:sz w:val="26"/>
          <w:szCs w:val="26"/>
        </w:rPr>
        <w:t xml:space="preserve">Federated Data Operating Model</w:t>
      </w:r>
    </w:p>
    <w:p>
      <w:pPr>
        <w:shd w:fill="0D1B2A" w:val="clear"/>
        <w:spacing w:after="120" w:before="0" w:line="220" w:lineRule="auto"/>
      </w:pPr>
      <w:r>
        <w:rPr>
          <w:rFonts w:ascii="Calibri" w:cs="Calibri" w:eastAsia="Calibri" w:hAnsi="Calibri"/>
          <w:color w:val="CFE3DF"/>
          <w:sz w:val="17"/>
          <w:szCs w:val="17"/>
        </w:rPr>
        <w:t xml:space="preserve">DEAL Control Tower  ·  how BDM / PDM change is owned, proposed, and approved</w:t>
      </w:r>
    </w:p>
    <w:p>
      <w:pPr>
        <w:spacing w:after="120" w:before="0" w:line="240" w:lineRule="auto"/>
      </w:pPr>
      <w:r>
        <w:rPr>
          <w:rFonts w:ascii="Calibri" w:cs="Calibri" w:eastAsia="Calibri" w:hAnsi="Calibri"/>
          <w:b/>
          <w:bCs/>
          <w:color w:val="0D1B2A"/>
          <w:sz w:val="18"/>
          <w:szCs w:val="18"/>
        </w:rPr>
        <w:t xml:space="preserve">The principle.</w:t>
      </w:r>
      <w:r>
        <w:rPr>
          <w:rFonts w:ascii="Calibri" w:cs="Calibri" w:eastAsia="Calibri" w:hAnsi="Calibri"/>
          <w:color w:val="0D1B2A"/>
          <w:sz w:val="18"/>
          <w:szCs w:val="18"/>
        </w:rPr>
        <w:t xml:space="preserve"> Domains own and propose their data models; the </w:t>
      </w:r>
      <w:r>
        <w:rPr>
          <w:rFonts w:ascii="Calibri" w:cs="Calibri" w:eastAsia="Calibri" w:hAnsi="Calibri"/>
          <w:b/>
          <w:bCs/>
          <w:color w:val="0D1B2A"/>
          <w:sz w:val="18"/>
          <w:szCs w:val="18"/>
        </w:rPr>
        <w:t xml:space="preserve">Chief Data Architect</w:t>
      </w:r>
      <w:r>
        <w:rPr>
          <w:rFonts w:ascii="Calibri" w:cs="Calibri" w:eastAsia="Calibri" w:hAnsi="Calibri"/>
          <w:color w:val="0D1B2A"/>
          <w:sz w:val="18"/>
          <w:szCs w:val="18"/>
        </w:rPr>
        <w:t xml:space="preserve"> signs off on enterprise-significant change. Autonomy within guardrails — neither a free-for-all nor a central bottleneck.</w:t>
      </w:r>
    </w:p>
    <w:p>
      <w:pPr>
        <w:spacing w:after="60" w:before="0" w:line="240" w:lineRule="auto"/>
      </w:pPr>
      <w:r>
        <w:rPr>
          <w:rFonts w:ascii="Georgia" w:cs="Georgia" w:eastAsia="Georgia" w:hAnsi="Georgia"/>
          <w:b/>
          <w:bCs/>
          <w:color w:val="15756B"/>
          <w:sz w:val="20"/>
          <w:szCs w:val="20"/>
        </w:rPr>
        <w:t xml:space="preserve">Two tiers of control</w:t>
      </w:r>
    </w:p>
    <w:tbl>
      <w:tblPr>
        <w:tblW w:type="pct" w:w="100%"/>
        <w:tblBorders>
          <w:top w:val="single" w:color="D9D5CD" w:sz="4"/>
          <w:left w:val="single" w:color="D9D5CD" w:sz="4"/>
          <w:bottom w:val="single" w:color="D9D5CD" w:sz="4"/>
          <w:right w:val="single" w:color="D9D5CD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0%"/>
            <w:tcBorders>
              <w:top w:val="single" w:color="D9D5CD" w:sz="4"/>
              <w:left w:val="single" w:color="D9D5CD" w:sz="4"/>
              <w:bottom w:val="single" w:color="D9D5CD" w:sz="4"/>
              <w:right w:val="single" w:color="D9D5CD" w:sz="4"/>
            </w:tcBorders>
            <w:shd w:fill="0D1B2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20" w:lineRule="auto"/>
              <w:jc w:val="left"/>
            </w:pPr>
          </w:p>
        </w:tc>
        <w:tc>
          <w:tcPr>
            <w:tcW w:type="pct" w:w="0%"/>
            <w:tcBorders>
              <w:top w:val="single" w:color="D9D5CD" w:sz="4"/>
              <w:left w:val="single" w:color="D9D5CD" w:sz="4"/>
              <w:bottom w:val="single" w:color="D9D5CD" w:sz="4"/>
              <w:right w:val="single" w:color="D9D5CD" w:sz="4"/>
            </w:tcBorders>
            <w:shd w:fill="0D1B2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Tier 1 — Domain autonomy</w:t>
            </w:r>
          </w:p>
        </w:tc>
        <w:tc>
          <w:tcPr>
            <w:tcW w:type="pct" w:w="0%"/>
            <w:tcBorders>
              <w:top w:val="single" w:color="D9D5CD" w:sz="4"/>
              <w:left w:val="single" w:color="D9D5CD" w:sz="4"/>
              <w:bottom w:val="single" w:color="D9D5CD" w:sz="4"/>
              <w:right w:val="single" w:color="D9D5CD" w:sz="4"/>
            </w:tcBorders>
            <w:shd w:fill="0D1B2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2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Tier 2 — Enterprise sign-off</w:t>
            </w:r>
          </w:p>
        </w:tc>
      </w:tr>
      <w:tr>
        <w:trPr>
          <w:cantSplit/>
        </w:trPr>
        <w:tc>
          <w:tcPr>
            <w:tcW w:type="pct" w:w="16%"/>
            <w:tcBorders>
              <w:top w:val="single" w:color="D9D5CD" w:sz="4"/>
              <w:left w:val="single" w:color="D9D5CD" w:sz="4"/>
              <w:bottom w:val="single" w:color="D9D5CD" w:sz="4"/>
              <w:right w:val="single" w:color="D9D5CD" w:sz="4"/>
            </w:tcBorders>
            <w:shd w:fill="F1EFE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20" w:lineRule="auto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5"/>
                <w:szCs w:val="15"/>
              </w:rPr>
              <w:t xml:space="preserve">Who</w:t>
            </w:r>
          </w:p>
        </w:tc>
        <w:tc>
          <w:tcPr>
            <w:tcW w:type="pct" w:w="42%"/>
            <w:tcBorders>
              <w:top w:val="single" w:color="D9D5CD" w:sz="4"/>
              <w:left w:val="single" w:color="D9D5CD" w:sz="4"/>
              <w:bottom w:val="single" w:color="D9D5CD" w:sz="4"/>
              <w:right w:val="single" w:color="D9D5C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20" w:lineRule="auto"/>
            </w:pPr>
            <w:r>
              <w:rPr>
                <w:rFonts w:ascii="Calibri" w:cs="Calibri" w:eastAsia="Calibri" w:hAnsi="Calibri"/>
                <w:color w:val="0D1B2A"/>
                <w:sz w:val="15"/>
                <w:szCs w:val="15"/>
              </w:rPr>
              <w:t xml:space="preserve">Domain modeler (maker) → steward / owner (checker)</w:t>
            </w:r>
          </w:p>
        </w:tc>
        <w:tc>
          <w:tcPr>
            <w:tcW w:type="pct" w:w="42%"/>
            <w:tcBorders>
              <w:top w:val="single" w:color="D9D5CD" w:sz="4"/>
              <w:left w:val="single" w:color="D9D5CD" w:sz="4"/>
              <w:bottom w:val="single" w:color="D9D5CD" w:sz="4"/>
              <w:right w:val="single" w:color="D9D5C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20" w:lineRule="auto"/>
            </w:pPr>
            <w:r>
              <w:rPr>
                <w:rFonts w:ascii="Calibri" w:cs="Calibri" w:eastAsia="Calibri" w:hAnsi="Calibri"/>
                <w:color w:val="0D1B2A"/>
                <w:sz w:val="15"/>
                <w:szCs w:val="15"/>
              </w:rPr>
              <w:t xml:space="preserve">Chief Data Architect, or ARB by delegated quorum</w:t>
            </w:r>
          </w:p>
        </w:tc>
      </w:tr>
      <w:tr>
        <w:trPr>
          <w:cantSplit/>
        </w:trPr>
        <w:tc>
          <w:tcPr>
            <w:tcW w:type="pct" w:w="16%"/>
            <w:tcBorders>
              <w:top w:val="single" w:color="D9D5CD" w:sz="4"/>
              <w:left w:val="single" w:color="D9D5CD" w:sz="4"/>
              <w:bottom w:val="single" w:color="D9D5CD" w:sz="4"/>
              <w:right w:val="single" w:color="D9D5CD" w:sz="4"/>
            </w:tcBorders>
            <w:shd w:fill="F1EFE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20" w:lineRule="auto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5"/>
                <w:szCs w:val="15"/>
              </w:rPr>
              <w:t xml:space="preserve">Decides</w:t>
            </w:r>
          </w:p>
        </w:tc>
        <w:tc>
          <w:tcPr>
            <w:tcW w:type="pct" w:w="42%"/>
            <w:tcBorders>
              <w:top w:val="single" w:color="D9D5CD" w:sz="4"/>
              <w:left w:val="single" w:color="D9D5CD" w:sz="4"/>
              <w:bottom w:val="single" w:color="D9D5CD" w:sz="4"/>
              <w:right w:val="single" w:color="D9D5C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20" w:lineRule="auto"/>
            </w:pPr>
            <w:r>
              <w:rPr>
                <w:rFonts w:ascii="Calibri" w:cs="Calibri" w:eastAsia="Calibri" w:hAnsi="Calibri"/>
                <w:color w:val="0D1B2A"/>
                <w:sz w:val="15"/>
                <w:szCs w:val="15"/>
              </w:rPr>
              <w:t xml:space="preserve">Routine, in-domain change</w:t>
            </w:r>
          </w:p>
        </w:tc>
        <w:tc>
          <w:tcPr>
            <w:tcW w:type="pct" w:w="42%"/>
            <w:tcBorders>
              <w:top w:val="single" w:color="D9D5CD" w:sz="4"/>
              <w:left w:val="single" w:color="D9D5CD" w:sz="4"/>
              <w:bottom w:val="single" w:color="D9D5CD" w:sz="4"/>
              <w:right w:val="single" w:color="D9D5C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20" w:lineRule="auto"/>
            </w:pPr>
            <w:r>
              <w:rPr>
                <w:rFonts w:ascii="Calibri" w:cs="Calibri" w:eastAsia="Calibri" w:hAnsi="Calibri"/>
                <w:color w:val="0D1B2A"/>
                <w:sz w:val="15"/>
                <w:szCs w:val="15"/>
              </w:rPr>
              <w:t xml:space="preserve">Enterprise-significant change</w:t>
            </w:r>
          </w:p>
        </w:tc>
      </w:tr>
      <w:tr>
        <w:trPr>
          <w:cantSplit/>
        </w:trPr>
        <w:tc>
          <w:tcPr>
            <w:tcW w:type="pct" w:w="16%"/>
            <w:tcBorders>
              <w:top w:val="single" w:color="D9D5CD" w:sz="4"/>
              <w:left w:val="single" w:color="D9D5CD" w:sz="4"/>
              <w:bottom w:val="single" w:color="D9D5CD" w:sz="4"/>
              <w:right w:val="single" w:color="D9D5CD" w:sz="4"/>
            </w:tcBorders>
            <w:shd w:fill="F1EFE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20" w:lineRule="auto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5"/>
                <w:szCs w:val="15"/>
              </w:rPr>
              <w:t xml:space="preserve">Examples</w:t>
            </w:r>
          </w:p>
        </w:tc>
        <w:tc>
          <w:tcPr>
            <w:tcW w:type="pct" w:w="42%"/>
            <w:tcBorders>
              <w:top w:val="single" w:color="D9D5CD" w:sz="4"/>
              <w:left w:val="single" w:color="D9D5CD" w:sz="4"/>
              <w:bottom w:val="single" w:color="D9D5CD" w:sz="4"/>
              <w:right w:val="single" w:color="D9D5C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20" w:lineRule="auto"/>
            </w:pPr>
            <w:r>
              <w:rPr>
                <w:rFonts w:ascii="Calibri" w:cs="Calibri" w:eastAsia="Calibri" w:hAnsi="Calibri"/>
                <w:color w:val="0D1B2A"/>
                <w:sz w:val="15"/>
                <w:szCs w:val="15"/>
              </w:rPr>
              <w:t xml:space="preserve">PDM tuning · docs · minor additive fields · in-domain semantic models</w:t>
            </w:r>
          </w:p>
        </w:tc>
        <w:tc>
          <w:tcPr>
            <w:tcW w:type="pct" w:w="42%"/>
            <w:tcBorders>
              <w:top w:val="single" w:color="D9D5CD" w:sz="4"/>
              <w:left w:val="single" w:color="D9D5CD" w:sz="4"/>
              <w:bottom w:val="single" w:color="D9D5CD" w:sz="4"/>
              <w:right w:val="single" w:color="D9D5C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20" w:lineRule="auto"/>
            </w:pPr>
            <w:r>
              <w:rPr>
                <w:rFonts w:ascii="Calibri" w:cs="Calibri" w:eastAsia="Calibri" w:hAnsi="Calibri"/>
                <w:color w:val="0D1B2A"/>
                <w:sz w:val="15"/>
                <w:szCs w:val="15"/>
              </w:rPr>
              <w:t xml:space="preserve">Any BDM change · breaking change · new entity · cross-domain reference · classification (PII/MNPI/tier) · shared / conformed models</w:t>
            </w:r>
          </w:p>
        </w:tc>
      </w:tr>
      <w:tr>
        <w:trPr>
          <w:cantSplit/>
        </w:trPr>
        <w:tc>
          <w:tcPr>
            <w:tcW w:type="pct" w:w="16%"/>
            <w:tcBorders>
              <w:top w:val="single" w:color="D9D5CD" w:sz="4"/>
              <w:left w:val="single" w:color="D9D5CD" w:sz="4"/>
              <w:bottom w:val="single" w:color="D9D5CD" w:sz="4"/>
              <w:right w:val="single" w:color="D9D5CD" w:sz="4"/>
            </w:tcBorders>
            <w:shd w:fill="F1EFE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20" w:lineRule="auto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5"/>
                <w:szCs w:val="15"/>
              </w:rPr>
              <w:t xml:space="preserve">Outcome</w:t>
            </w:r>
          </w:p>
        </w:tc>
        <w:tc>
          <w:tcPr>
            <w:tcW w:type="pct" w:w="42%"/>
            <w:tcBorders>
              <w:top w:val="single" w:color="D9D5CD" w:sz="4"/>
              <w:left w:val="single" w:color="D9D5CD" w:sz="4"/>
              <w:bottom w:val="single" w:color="D9D5CD" w:sz="4"/>
              <w:right w:val="single" w:color="D9D5C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20" w:lineRule="auto"/>
            </w:pPr>
            <w:r>
              <w:rPr>
                <w:rFonts w:ascii="Calibri" w:cs="Calibri" w:eastAsia="Calibri" w:hAnsi="Calibri"/>
                <w:color w:val="0D1B2A"/>
                <w:sz w:val="15"/>
                <w:szCs w:val="15"/>
              </w:rPr>
              <w:t xml:space="preserve">Completes at the domain tier</w:t>
            </w:r>
          </w:p>
        </w:tc>
        <w:tc>
          <w:tcPr>
            <w:tcW w:type="pct" w:w="42%"/>
            <w:tcBorders>
              <w:top w:val="single" w:color="D9D5CD" w:sz="4"/>
              <w:left w:val="single" w:color="D9D5CD" w:sz="4"/>
              <w:bottom w:val="single" w:color="D9D5CD" w:sz="4"/>
              <w:right w:val="single" w:color="D9D5CD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20" w:lineRule="auto"/>
            </w:pPr>
            <w:r>
              <w:rPr>
                <w:rFonts w:ascii="Calibri" w:cs="Calibri" w:eastAsia="Calibri" w:hAnsi="Calibri"/>
                <w:color w:val="0D1B2A"/>
                <w:sz w:val="15"/>
                <w:szCs w:val="15"/>
              </w:rPr>
              <w:t xml:space="preserve">CDA sign-off required on top of domain approval</w:t>
            </w:r>
          </w:p>
        </w:tc>
      </w:tr>
    </w:tbl>
    <w:p>
      <w:pPr>
        <w:spacing w:after="50" w:before="140" w:line="240" w:lineRule="auto"/>
      </w:pPr>
      <w:r>
        <w:rPr>
          <w:rFonts w:ascii="Georgia" w:cs="Georgia" w:eastAsia="Georgia" w:hAnsi="Georgia"/>
          <w:b/>
          <w:bCs/>
          <w:color w:val="15756B"/>
          <w:sz w:val="20"/>
          <w:szCs w:val="20"/>
        </w:rPr>
        <w:t xml:space="preserve">The lifecycle</w:t>
      </w:r>
    </w:p>
    <w:p>
      <w:pPr>
        <w:spacing w:after="40" w:before="0" w:line="240" w:lineRule="auto"/>
      </w:pPr>
      <w:r>
        <w:rPr>
          <w:rFonts w:ascii="Calibri" w:cs="Calibri" w:eastAsia="Calibri" w:hAnsi="Calibri"/>
          <w:b/>
          <w:bCs/>
          <w:color w:val="0D1B2A"/>
          <w:sz w:val="17"/>
          <w:szCs w:val="17"/>
        </w:rPr>
        <w:t xml:space="preserve">Propose (maker)</w:t>
      </w:r>
      <w:r>
        <w:rPr>
          <w:rFonts w:ascii="Calibri" w:cs="Calibri" w:eastAsia="Calibri" w:hAnsi="Calibri"/>
          <w:color w:val="B5893F"/>
          <w:sz w:val="17"/>
          <w:szCs w:val="17"/>
        </w:rPr>
        <w:t xml:space="preserve">  →  </w:t>
      </w:r>
      <w:r>
        <w:rPr>
          <w:rFonts w:ascii="Calibri" w:cs="Calibri" w:eastAsia="Calibri" w:hAnsi="Calibri"/>
          <w:b/>
          <w:bCs/>
          <w:color w:val="0D1B2A"/>
          <w:sz w:val="17"/>
          <w:szCs w:val="17"/>
        </w:rPr>
        <w:t xml:space="preserve">Standards gates (policy-as-code)</w:t>
      </w:r>
      <w:r>
        <w:rPr>
          <w:rFonts w:ascii="Calibri" w:cs="Calibri" w:eastAsia="Calibri" w:hAnsi="Calibri"/>
          <w:color w:val="B5893F"/>
          <w:sz w:val="17"/>
          <w:szCs w:val="17"/>
        </w:rPr>
        <w:t xml:space="preserve">  →  </w:t>
      </w:r>
      <w:r>
        <w:rPr>
          <w:rFonts w:ascii="Calibri" w:cs="Calibri" w:eastAsia="Calibri" w:hAnsi="Calibri"/>
          <w:b/>
          <w:bCs/>
          <w:color w:val="0D1B2A"/>
          <w:sz w:val="17"/>
          <w:szCs w:val="17"/>
        </w:rPr>
        <w:t xml:space="preserve">Domain approval (Tier 1)</w:t>
      </w:r>
      <w:r>
        <w:rPr>
          <w:rFonts w:ascii="Calibri" w:cs="Calibri" w:eastAsia="Calibri" w:hAnsi="Calibri"/>
          <w:color w:val="B5893F"/>
          <w:sz w:val="17"/>
          <w:szCs w:val="17"/>
        </w:rPr>
        <w:t xml:space="preserve">  →  </w:t>
      </w:r>
      <w:r>
        <w:rPr>
          <w:rFonts w:ascii="Calibri" w:cs="Calibri" w:eastAsia="Calibri" w:hAnsi="Calibri"/>
          <w:b/>
          <w:bCs/>
          <w:color w:val="0D1B2A"/>
          <w:sz w:val="17"/>
          <w:szCs w:val="17"/>
        </w:rPr>
        <w:t xml:space="preserve">CDA / ARB sign-off (Tier 2)</w:t>
      </w:r>
      <w:r>
        <w:rPr>
          <w:rFonts w:ascii="Calibri" w:cs="Calibri" w:eastAsia="Calibri" w:hAnsi="Calibri"/>
          <w:color w:val="B5893F"/>
          <w:sz w:val="17"/>
          <w:szCs w:val="17"/>
        </w:rPr>
        <w:t xml:space="preserve">  →  </w:t>
      </w:r>
      <w:r>
        <w:rPr>
          <w:rFonts w:ascii="Calibri" w:cs="Calibri" w:eastAsia="Calibri" w:hAnsi="Calibri"/>
          <w:b/>
          <w:bCs/>
          <w:color w:val="0D1B2A"/>
          <w:sz w:val="17"/>
          <w:szCs w:val="17"/>
        </w:rPr>
        <w:t xml:space="preserve">Merge · reconcile · publish</w:t>
      </w:r>
    </w:p>
    <w:p>
      <w:pPr>
        <w:spacing w:after="120" w:before="0" w:line="240" w:lineRule="auto"/>
      </w:pPr>
      <w:r>
        <w:rPr>
          <w:rFonts w:ascii="Calibri" w:cs="Calibri" w:eastAsia="Calibri" w:hAnsi="Calibri"/>
          <w:i/>
          <w:iCs/>
          <w:color w:val="59636F"/>
          <w:sz w:val="15"/>
          <w:szCs w:val="15"/>
        </w:rPr>
        <w:t xml:space="preserve">Every step is captured in an append-only, hash-chained audit log.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60"/>
            </w:tcMar>
          </w:tcPr>
          <w:p>
            <w:pPr>
              <w:spacing w:after="50" w:before="0" w:line="240" w:lineRule="auto"/>
            </w:pPr>
            <w:r>
              <w:rPr>
                <w:rFonts w:ascii="Georgia" w:cs="Georgia" w:eastAsia="Georgia" w:hAnsi="Georgia"/>
                <w:b/>
                <w:bCs/>
                <w:color w:val="15756B"/>
                <w:sz w:val="19"/>
                <w:szCs w:val="19"/>
              </w:rPr>
              <w:t xml:space="preserve">Roles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 w:line="220" w:lineRule="auto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Domain modeler</w:t>
            </w:r>
            <w:r>
              <w:rPr>
                <w:rFonts w:ascii="Calibri" w:cs="Calibri" w:eastAsia="Calibri" w:hAnsi="Calibri"/>
                <w:color w:val="0D1B2A"/>
                <w:sz w:val="16"/>
                <w:szCs w:val="16"/>
              </w:rPr>
              <w:t xml:space="preserve"> — authors &amp; proposes (maker).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 w:line="220" w:lineRule="auto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Steward / owner</w:t>
            </w:r>
            <w:r>
              <w:rPr>
                <w:rFonts w:ascii="Calibri" w:cs="Calibri" w:eastAsia="Calibri" w:hAnsi="Calibri"/>
                <w:color w:val="0D1B2A"/>
                <w:sz w:val="16"/>
                <w:szCs w:val="16"/>
              </w:rPr>
              <w:t xml:space="preserve"> — approves in-domain change; accountable for the domain's models.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 w:line="220" w:lineRule="auto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Chief Data Architect</w:t>
            </w:r>
            <w:r>
              <w:rPr>
                <w:rFonts w:ascii="Calibri" w:cs="Calibri" w:eastAsia="Calibri" w:hAnsi="Calibri"/>
                <w:color w:val="0D1B2A"/>
                <w:sz w:val="16"/>
                <w:szCs w:val="16"/>
              </w:rPr>
              <w:t xml:space="preserve"> — accountable for enterprise coherence; signs off Tier 2; sets standards.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 w:line="220" w:lineRule="auto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ARB</w:t>
            </w:r>
            <w:r>
              <w:rPr>
                <w:rFonts w:ascii="Calibri" w:cs="Calibri" w:eastAsia="Calibri" w:hAnsi="Calibri"/>
                <w:color w:val="0D1B2A"/>
                <w:sz w:val="16"/>
                <w:szCs w:val="16"/>
              </w:rPr>
              <w:t xml:space="preserve"> — delegated enterprise sign-off by quorum.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 w:line="220" w:lineRule="auto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Governance / Compliance</w:t>
            </w:r>
            <w:r>
              <w:rPr>
                <w:rFonts w:ascii="Calibri" w:cs="Calibri" w:eastAsia="Calibri" w:hAnsi="Calibri"/>
                <w:color w:val="0D1B2A"/>
                <w:sz w:val="16"/>
                <w:szCs w:val="16"/>
              </w:rPr>
              <w:t xml:space="preserve"> — separate approval for PII / MNPI &amp; classification.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 w:line="220" w:lineRule="auto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Platform engineering</w:t>
            </w:r>
            <w:r>
              <w:rPr>
                <w:rFonts w:ascii="Calibri" w:cs="Calibri" w:eastAsia="Calibri" w:hAnsi="Calibri"/>
                <w:color w:val="0D1B2A"/>
                <w:sz w:val="16"/>
                <w:szCs w:val="16"/>
              </w:rPr>
              <w:t xml:space="preserve"> — operates merge, generation &amp; deploy.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60"/>
            </w:tcMar>
          </w:tcPr>
          <w:p>
            <w:pPr>
              <w:spacing w:after="50" w:before="0" w:line="240" w:lineRule="auto"/>
            </w:pPr>
            <w:r>
              <w:rPr>
                <w:rFonts w:ascii="Georgia" w:cs="Georgia" w:eastAsia="Georgia" w:hAnsi="Georgia"/>
                <w:b/>
                <w:bCs/>
                <w:color w:val="15756B"/>
                <w:sz w:val="19"/>
                <w:szCs w:val="19"/>
              </w:rPr>
              <w:t xml:space="preserve">Baked into the platform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 w:line="220" w:lineRule="auto"/>
            </w:pPr>
            <w:r>
              <w:rPr>
                <w:rFonts w:ascii="Calibri" w:cs="Calibri" w:eastAsia="Calibri" w:hAnsi="Calibri"/>
                <w:color w:val="0D1B2A"/>
                <w:sz w:val="16"/>
                <w:szCs w:val="16"/>
              </w:rPr>
              <w:t xml:space="preserve">Roles </w:t>
            </w:r>
            <w:r>
              <w:rPr>
                <w:rFonts w:ascii="Consolas" w:cs="Consolas" w:eastAsia="Consolas" w:hAnsi="Consolas"/>
                <w:color w:val="15756B"/>
                <w:sz w:val="16"/>
                <w:szCs w:val="16"/>
              </w:rPr>
              <w:t xml:space="preserve">chief_data_architect</w:t>
            </w:r>
            <w:r>
              <w:rPr>
                <w:rFonts w:ascii="Calibri" w:cs="Calibri" w:eastAsia="Calibri" w:hAnsi="Calibri"/>
                <w:color w:val="0D1B2A"/>
                <w:sz w:val="16"/>
                <w:szCs w:val="16"/>
              </w:rPr>
              <w:t xml:space="preserve"> &amp; </w:t>
            </w:r>
            <w:r>
              <w:rPr>
                <w:rFonts w:ascii="Consolas" w:cs="Consolas" w:eastAsia="Consolas" w:hAnsi="Consolas"/>
                <w:color w:val="15756B"/>
                <w:sz w:val="16"/>
                <w:szCs w:val="16"/>
              </w:rPr>
              <w:t xml:space="preserve">architecture_review_board</w:t>
            </w:r>
            <w:r>
              <w:rPr>
                <w:rFonts w:ascii="Calibri" w:cs="Calibri" w:eastAsia="Calibri" w:hAnsi="Calibri"/>
                <w:color w:val="0D1B2A"/>
                <w:sz w:val="16"/>
                <w:szCs w:val="16"/>
              </w:rPr>
              <w:t xml:space="preserve"> with a </w:t>
            </w:r>
            <w:r>
              <w:rPr>
                <w:rFonts w:ascii="Consolas" w:cs="Consolas" w:eastAsia="Consolas" w:hAnsi="Consolas"/>
                <w:color w:val="15756B"/>
                <w:sz w:val="16"/>
                <w:szCs w:val="16"/>
              </w:rPr>
              <w:t xml:space="preserve">change:signoff</w:t>
            </w:r>
            <w:r>
              <w:rPr>
                <w:rFonts w:ascii="Calibri" w:cs="Calibri" w:eastAsia="Calibri" w:hAnsi="Calibri"/>
                <w:color w:val="0D1B2A"/>
                <w:sz w:val="16"/>
                <w:szCs w:val="16"/>
              </w:rPr>
              <w:t xml:space="preserve"> capability (RBAC/ABAC).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 w:line="220" w:lineRule="auto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Scope-aware routing</w:t>
            </w:r>
            <w:r>
              <w:rPr>
                <w:rFonts w:ascii="Calibri" w:cs="Calibri" w:eastAsia="Calibri" w:hAnsi="Calibri"/>
                <w:color w:val="0D1B2A"/>
                <w:sz w:val="16"/>
                <w:szCs w:val="16"/>
              </w:rPr>
              <w:t xml:space="preserve"> computes </w:t>
            </w:r>
            <w:r>
              <w:rPr>
                <w:rFonts w:ascii="Consolas" w:cs="Consolas" w:eastAsia="Consolas" w:hAnsi="Consolas"/>
                <w:color w:val="15756B"/>
                <w:sz w:val="16"/>
                <w:szCs w:val="16"/>
              </w:rPr>
              <w:t xml:space="preserve">requiresEnterpriseSignoff</w:t>
            </w:r>
            <w:r>
              <w:rPr>
                <w:rFonts w:ascii="Calibri" w:cs="Calibri" w:eastAsia="Calibri" w:hAnsi="Calibri"/>
                <w:color w:val="0D1B2A"/>
                <w:sz w:val="16"/>
                <w:szCs w:val="16"/>
              </w:rPr>
              <w:t xml:space="preserve"> and withholds approval until a CDA/ARB sign-off is recorded — domain quorum alone cannot merge Tier-2 change.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 w:line="220" w:lineRule="auto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Standards-as-code</w:t>
            </w:r>
            <w:r>
              <w:rPr>
                <w:rFonts w:ascii="Calibri" w:cs="Calibri" w:eastAsia="Calibri" w:hAnsi="Calibri"/>
                <w:color w:val="0D1B2A"/>
                <w:sz w:val="16"/>
                <w:szCs w:val="16"/>
              </w:rPr>
              <w:t xml:space="preserve"> gates: schema, referential integrity, classification coverage, semver, propagation.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 w:before="0" w:line="220" w:lineRule="auto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16"/>
                <w:szCs w:val="16"/>
              </w:rPr>
              <w:t xml:space="preserve">Graduated autonomy</w:t>
            </w:r>
            <w:r>
              <w:rPr>
                <w:rFonts w:ascii="Calibri" w:cs="Calibri" w:eastAsia="Calibri" w:hAnsi="Calibri"/>
                <w:color w:val="0D1B2A"/>
                <w:sz w:val="16"/>
                <w:szCs w:val="16"/>
              </w:rPr>
              <w:t xml:space="preserve"> — routing is configuration; the CDA widens domain autonomy as domains mature.</w:t>
            </w:r>
          </w:p>
        </w:tc>
      </w:tr>
    </w:tbl>
    <w:p>
      <w:pPr>
        <w:pBdr>
          <w:left w:val="single" w:color="B5893F" w:sz="24"/>
        </w:pBdr>
        <w:shd w:fill="F1EFE9" w:val="clear"/>
        <w:spacing w:after="0" w:before="160" w:line="220" w:lineRule="auto"/>
      </w:pPr>
      <w:r>
        <w:rPr>
          <w:rFonts w:ascii="Calibri" w:cs="Calibri" w:eastAsia="Calibri" w:hAnsi="Calibri"/>
          <w:i/>
          <w:iCs/>
          <w:color w:val="0D1B2A"/>
          <w:sz w:val="15"/>
          <w:szCs w:val="15"/>
        </w:rPr>
        <w:t xml:space="preserve">Verified end-to-end: a domain quorum on a BDM change sits in review until the Chief Data Architect signs off; a PII change additionally requires a Governance approval. (</w:t>
      </w:r>
      <w:r>
        <w:rPr>
          <w:rFonts w:ascii="Consolas" w:cs="Consolas" w:eastAsia="Consolas" w:hAnsi="Consolas"/>
          <w:i/>
          <w:iCs/>
          <w:color w:val="15756B"/>
          <w:sz w:val="15"/>
          <w:szCs w:val="15"/>
        </w:rPr>
        <w:t xml:space="preserve">scripts/gov-e2e.mjs</w:t>
      </w:r>
      <w:r>
        <w:rPr>
          <w:rFonts w:ascii="Calibri" w:cs="Calibri" w:eastAsia="Calibri" w:hAnsi="Calibri"/>
          <w:i/>
          <w:iCs/>
          <w:color w:val="0D1B2A"/>
          <w:sz w:val="15"/>
          <w:szCs w:val="15"/>
        </w:rPr>
        <w:t xml:space="preserve">)</w:t>
      </w:r>
    </w:p>
    <w:sectPr>
      <w:pgSz w:w="11906" w:h="16838" w:orient="portrait"/>
      <w:pgMar w:top="6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D1B2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Federated Data Operating Model — One Page</dc:title>
  <dc:creator>Semantic Quay</dc:creator>
  <cp:lastModifiedBy>Un-named</cp:lastModifiedBy>
  <cp:revision>1</cp:revision>
  <dcterms:created xsi:type="dcterms:W3CDTF">2026-06-21T02:00:51.257Z</dcterms:created>
  <dcterms:modified xsi:type="dcterms:W3CDTF">2026-06-21T02:00:51.259Z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