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0f35268c2a09d4c04d25e751a8060fd258ede6"/>
    <w:p>
      <w:pPr>
        <w:pStyle w:val="Heading1"/>
      </w:pPr>
      <w:r>
        <w:t xml:space="preserve">Bain Capital Credit - ABF/Structured Credit Analytics Portal</w:t>
      </w:r>
    </w:p>
    <w:bookmarkStart w:id="9" w:name="product-specification-for-brett-wilzbach"/>
    <w:p>
      <w:pPr>
        <w:pStyle w:val="Heading2"/>
      </w:pPr>
      <w:r>
        <w:t xml:space="preserve">Product Specification for Brett Wilzbach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an interactive analytics portal/dashboard to assist Bain Capital Credit’s product management team in:</w:t>
      </w:r>
      <w:r>
        <w:t xml:space="preserve"> </w:t>
      </w:r>
      <w:r>
        <w:t xml:space="preserve">1. Tracking structured credit &amp; ABF market developments</w:t>
      </w:r>
      <w:r>
        <w:t xml:space="preserve"> </w:t>
      </w:r>
      <w:r>
        <w:t xml:space="preserve">2. Modeling example waterfall triggers and deal structures</w:t>
      </w:r>
      <w:r>
        <w:t xml:space="preserve"> </w:t>
      </w:r>
      <w:r>
        <w:t xml:space="preserve">3. Monitoring collateral groupings, issuance, and spreads</w:t>
      </w:r>
      <w:r>
        <w:t xml:space="preserve"> </w:t>
      </w:r>
      <w:r>
        <w:t xml:space="preserve">4. Supporting client communication and investor education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This tool supports the Lincoln Bain Capital Total Credit Fund launch and broader ABF/structured credit initiatives.</w:t>
      </w:r>
    </w:p>
    <w:p>
      <w:r>
        <w:pict>
          <v:rect style="width:0;height:1.5pt" o:hralign="center" o:hrstd="t" o:hr="t"/>
        </w:pict>
      </w:r>
    </w:p>
    <w:bookmarkEnd w:id="11"/>
    <w:bookmarkStart w:id="23" w:name="X2181c5f5169427cb37115a492921c957b750ec9"/>
    <w:p>
      <w:pPr>
        <w:pStyle w:val="Heading1"/>
      </w:pPr>
      <w:r>
        <w:t xml:space="preserve">Section 1: Bain Capital Credit ABF Context</w:t>
      </w:r>
    </w:p>
    <w:bookmarkStart w:id="17" w:name="recent-developments"/>
    <w:p>
      <w:pPr>
        <w:pStyle w:val="Heading2"/>
      </w:pPr>
      <w:r>
        <w:t xml:space="preserve">Recent Developments</w:t>
      </w:r>
    </w:p>
    <w:bookmarkStart w:id="13" w:name="X39bd80e276731d374a2a1084201fec0c2b01c9f"/>
    <w:p>
      <w:pPr>
        <w:pStyle w:val="Heading3"/>
      </w:pPr>
      <w:r>
        <w:t xml:space="preserve">Lincoln Bain Capital Total Credit Fund (Sept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Partnership:</w:t>
      </w:r>
      <w:r>
        <w:t xml:space="preserve"> </w:t>
      </w:r>
      <w:r>
        <w:t xml:space="preserve">Lincoln Financial + Bain Capital Credit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Evergreen fund for individual investors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Direct lending + Asset-Based Finance + Structured Credit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Lincoln Financial Distributors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Relationship:</w:t>
      </w:r>
      <w:r>
        <w:t xml:space="preserve"> </w:t>
      </w:r>
      <w:r>
        <w:t xml:space="preserve">10-year non-exclusive investment management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investment:</w:t>
      </w:r>
      <w:r>
        <w:t xml:space="preserve"> </w:t>
      </w:r>
      <w:r>
        <w:t xml:space="preserve">Bain acquired 9.9% stake in Lincoln for $825M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Lincoln Financial Press Release</w:t>
        </w:r>
      </w:hyperlink>
    </w:p>
    <w:bookmarkEnd w:id="13"/>
    <w:bookmarkStart w:id="15" w:name="legacy-corporate-lending-may-2023"/>
    <w:p>
      <w:pPr>
        <w:pStyle w:val="Heading3"/>
      </w:pPr>
      <w:r>
        <w:t xml:space="preserve">Legacy Corporate Lending (May 2023)</w:t>
      </w:r>
    </w:p>
    <w:p>
      <w:pPr>
        <w:pStyle w:val="Compact"/>
        <w:numPr>
          <w:ilvl w:val="0"/>
          <w:numId w:val="1002"/>
        </w:numPr>
      </w:pPr>
      <w:r>
        <w:t xml:space="preserve">ABL platform launched with Bain Capital Credit equity investment</w:t>
      </w:r>
    </w:p>
    <w:p>
      <w:pPr>
        <w:pStyle w:val="Compact"/>
        <w:numPr>
          <w:ilvl w:val="0"/>
          <w:numId w:val="1002"/>
        </w:numPr>
      </w:pPr>
      <w:r>
        <w:t xml:space="preserve">Focus: Middle market ($10-40M facilities)</w:t>
      </w:r>
    </w:p>
    <w:p>
      <w:pPr>
        <w:pStyle w:val="Compact"/>
        <w:numPr>
          <w:ilvl w:val="0"/>
          <w:numId w:val="1002"/>
        </w:numPr>
      </w:pPr>
      <w:r>
        <w:t xml:space="preserve">Collateral: A/R, inventory, equipment, real estate, IP</w:t>
      </w:r>
    </w:p>
    <w:p>
      <w:pPr>
        <w:pStyle w:val="Compact"/>
        <w:numPr>
          <w:ilvl w:val="0"/>
          <w:numId w:val="1002"/>
        </w:numPr>
      </w:pPr>
      <w:r>
        <w:t xml:space="preserve">Location: Dallas-Fort Worth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4">
        <w:r>
          <w:rPr>
            <w:rStyle w:val="Hyperlink"/>
          </w:rPr>
          <w:t xml:space="preserve">Bain Capital News</w:t>
        </w:r>
      </w:hyperlink>
    </w:p>
    <w:bookmarkEnd w:id="15"/>
    <w:bookmarkStart w:id="16" w:name="structured-credit-fund"/>
    <w:p>
      <w:pPr>
        <w:pStyle w:val="Heading3"/>
      </w:pPr>
      <w:r>
        <w:t xml:space="preserve">Structured Credit Fund</w:t>
      </w:r>
    </w:p>
    <w:p>
      <w:pPr>
        <w:pStyle w:val="Compact"/>
        <w:numPr>
          <w:ilvl w:val="0"/>
          <w:numId w:val="1003"/>
        </w:numPr>
      </w:pPr>
      <w:r>
        <w:t xml:space="preserve">AUM: ~$270M</w:t>
      </w:r>
    </w:p>
    <w:p>
      <w:pPr>
        <w:pStyle w:val="Compact"/>
        <w:numPr>
          <w:ilvl w:val="0"/>
          <w:numId w:val="1003"/>
        </w:numPr>
      </w:pPr>
      <w:r>
        <w:t xml:space="preserve">PM: Marc Touboul</w:t>
      </w:r>
    </w:p>
    <w:p>
      <w:pPr>
        <w:pStyle w:val="Compact"/>
        <w:numPr>
          <w:ilvl w:val="0"/>
          <w:numId w:val="1003"/>
        </w:numPr>
      </w:pPr>
      <w:r>
        <w:t xml:space="preserve">Strategy: CLO debt/equity, structured products</w:t>
      </w:r>
    </w:p>
    <w:p>
      <w:pPr>
        <w:pStyle w:val="Compact"/>
        <w:numPr>
          <w:ilvl w:val="0"/>
          <w:numId w:val="1003"/>
        </w:numPr>
      </w:pPr>
      <w:r>
        <w:t xml:space="preserve">Status: Subscale, potential growth opportunity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bf-market-overview"/>
    <w:p>
      <w:pPr>
        <w:pStyle w:val="Heading2"/>
      </w:pPr>
      <w:r>
        <w:t xml:space="preserve">ABF Market Overview</w:t>
      </w:r>
    </w:p>
    <w:bookmarkStart w:id="19" w:name="market-size"/>
    <w:p>
      <w:pPr>
        <w:pStyle w:val="Heading3"/>
      </w:pPr>
      <w:r>
        <w:t xml:space="preserve">Market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ABF Market</w:t>
            </w:r>
          </w:p>
        </w:tc>
        <w:tc>
          <w:tcPr/>
          <w:p>
            <w:pPr>
              <w:pStyle w:val="Compact"/>
            </w:pPr>
            <w:r>
              <w:t xml:space="preserve">$20T+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ABF</w:t>
            </w:r>
          </w:p>
        </w:tc>
        <w:tc>
          <w:tcPr/>
          <w:p>
            <w:pPr>
              <w:pStyle w:val="Compact"/>
            </w:pPr>
            <w:r>
              <w:t xml:space="preserve">~$6T (doubled since 2008)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Private ABS Issuance</w:t>
            </w:r>
          </w:p>
        </w:tc>
        <w:tc>
          <w:tcPr/>
          <w:p>
            <w:pPr>
              <w:pStyle w:val="Compact"/>
            </w:pPr>
            <w:r>
              <w:t xml:space="preserve">$130B (40% of total ABS)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Projected Private ABS (5yr)</w:t>
            </w:r>
          </w:p>
        </w:tc>
        <w:tc>
          <w:tcPr/>
          <w:p>
            <w:pPr>
              <w:pStyle w:val="Compact"/>
            </w:pPr>
            <w:r>
              <w:t xml:space="preserve">$200B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hyperlink r:id="rId18">
        <w:r>
          <w:rPr>
            <w:rStyle w:val="Hyperlink"/>
          </w:rPr>
          <w:t xml:space="preserve">KKR ABF Research</w:t>
        </w:r>
      </w:hyperlink>
    </w:p>
    <w:bookmarkEnd w:id="19"/>
    <w:bookmarkStart w:id="20" w:name="collateral-categories"/>
    <w:p>
      <w:pPr>
        <w:pStyle w:val="Heading3"/>
      </w:pPr>
      <w:r>
        <w:t xml:space="preserve">Collateral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Finance</w:t>
            </w:r>
          </w:p>
        </w:tc>
        <w:tc>
          <w:tcPr/>
          <w:p>
            <w:pPr>
              <w:pStyle w:val="Compact"/>
            </w:pPr>
            <w:r>
              <w:t xml:space="preserve">Auto loans, credit cards, consumer loans, BNPL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Assets</w:t>
            </w:r>
          </w:p>
        </w:tc>
        <w:tc>
          <w:tcPr/>
          <w:p>
            <w:pPr>
              <w:pStyle w:val="Compact"/>
            </w:pPr>
            <w:r>
              <w:t xml:space="preserve">Aircraft, equipment, rail, shipping,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Estate</w:t>
            </w:r>
          </w:p>
        </w:tc>
        <w:tc>
          <w:tcPr/>
          <w:p>
            <w:pPr>
              <w:pStyle w:val="Compact"/>
            </w:pPr>
            <w:r>
              <w:t xml:space="preserve">Residential mortgages, commercial mortgages, HELOCs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Financial/Esoteric</w:t>
            </w:r>
          </w:p>
        </w:tc>
        <w:tc>
          <w:tcPr/>
          <w:p>
            <w:pPr>
              <w:pStyle w:val="Compact"/>
            </w:pPr>
            <w:r>
              <w:t xml:space="preserve">Royalties (music, pharma, IP), trade finance, litigation funding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Data centers, digital infra, subscription/SaaS, sports finance</w:t>
            </w:r>
          </w:p>
        </w:tc>
      </w:tr>
    </w:tbl>
    <w:bookmarkEnd w:id="20"/>
    <w:bookmarkStart w:id="21" w:name="private-abf-vs.-public-abs"/>
    <w:p>
      <w:pPr>
        <w:pStyle w:val="Heading3"/>
      </w:pPr>
      <w:r>
        <w:t xml:space="preserve">Private ABF vs. Public 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Public ABS</w:t>
            </w:r>
          </w:p>
        </w:tc>
        <w:tc>
          <w:tcPr/>
          <w:p>
            <w:pPr>
              <w:pStyle w:val="Compact"/>
            </w:pPr>
            <w:r>
              <w:t xml:space="preserve">Private ABF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type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Revolving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</w:t>
            </w:r>
          </w:p>
        </w:tc>
        <w:tc>
          <w:tcPr/>
          <w:p>
            <w:pPr>
              <w:pStyle w:val="Compact"/>
            </w:pPr>
            <w:r>
              <w:t xml:space="preserve">Traded</w:t>
            </w:r>
          </w:p>
        </w:tc>
        <w:tc>
          <w:tcPr/>
          <w:p>
            <w:pPr>
              <w:pStyle w:val="Compact"/>
            </w:pPr>
            <w:r>
              <w:t xml:space="preserve">Held to maturity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Standardized tranches</w:t>
            </w:r>
          </w:p>
        </w:tc>
        <w:tc>
          <w:tcPr/>
          <w:p>
            <w:pPr>
              <w:pStyle w:val="Compact"/>
            </w:pPr>
            <w:r>
              <w:t xml:space="preserve">Customized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Market spreads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Public filings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55" w:name="section-2-portal-features-modules"/>
    <w:p>
      <w:pPr>
        <w:pStyle w:val="Heading1"/>
      </w:pPr>
      <w:r>
        <w:t xml:space="preserve">Section 2: Portal Features &amp; Modules</w:t>
      </w:r>
    </w:p>
    <w:bookmarkStart w:id="28" w:name="module-1-absclo-new-issuance-tracker"/>
    <w:p>
      <w:pPr>
        <w:pStyle w:val="Heading2"/>
      </w:pPr>
      <w:r>
        <w:t xml:space="preserve">Module 1: ABS/CLO New Issuance Tracker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Real-time tracking of new deals across structured credit sectors</w:t>
      </w:r>
    </w:p>
    <w:bookmarkEnd w:id="24"/>
    <w:bookmarkStart w:id="25" w:name="data-fields"/>
    <w:p>
      <w:pPr>
        <w:pStyle w:val="Heading3"/>
      </w:pPr>
      <w:r>
        <w:t xml:space="preserve">Data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name</w:t>
            </w:r>
          </w:p>
        </w:tc>
        <w:tc>
          <w:tcPr/>
          <w:p>
            <w:pPr>
              <w:pStyle w:val="Compact"/>
            </w:pPr>
            <w:r>
              <w:t xml:space="preserve">Issuer + Series (e.g., ACMAT 2025-4)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Sponsor/originator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type</w:t>
            </w:r>
          </w:p>
        </w:tc>
        <w:tc>
          <w:tcPr/>
          <w:p>
            <w:pPr>
              <w:pStyle w:val="Compact"/>
            </w:pPr>
            <w:r>
              <w:t xml:space="preserve">Auto, consumer, equipment, esoteric,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size</w:t>
            </w:r>
          </w:p>
        </w:tc>
        <w:tc>
          <w:tcPr/>
          <w:p>
            <w:pPr>
              <w:pStyle w:val="Compact"/>
            </w:pPr>
            <w:r>
              <w:t xml:space="preserve">Total issuance ($M)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Tranche breakdown</w:t>
            </w:r>
          </w:p>
        </w:tc>
        <w:tc>
          <w:tcPr/>
          <w:p>
            <w:pPr>
              <w:pStyle w:val="Compact"/>
            </w:pPr>
            <w:r>
              <w:t xml:space="preserve">Class A/B/C sizes, ratings, spreads, coupons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  <w:r>
              <w:t xml:space="preserve">Weighted average life by tranche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enhancement</w:t>
            </w:r>
          </w:p>
        </w:tc>
        <w:tc>
          <w:tcPr/>
          <w:p>
            <w:pPr>
              <w:pStyle w:val="Compact"/>
            </w:pPr>
            <w:r>
              <w:t xml:space="preserve">Subordination %, OC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Bookrunner(s)</w:t>
            </w:r>
          </w:p>
        </w:tc>
        <w:tc>
          <w:tcPr/>
          <w:p>
            <w:pPr>
              <w:pStyle w:val="Compact"/>
            </w:pPr>
            <w:r>
              <w:t xml:space="preserve">Lead arrangers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date</w:t>
            </w:r>
          </w:p>
        </w:tc>
        <w:tc>
          <w:tcPr/>
          <w:p>
            <w:pPr>
              <w:pStyle w:val="Compact"/>
            </w:pPr>
            <w:r>
              <w:t xml:space="preserve">When deal priced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144A, Reg S, private placement</w:t>
            </w:r>
          </w:p>
        </w:tc>
      </w:tr>
    </w:tbl>
    <w:bookmarkEnd w:id="25"/>
    <w:bookmarkStart w:id="26" w:name="filters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04"/>
        </w:numPr>
      </w:pPr>
      <w:r>
        <w:t xml:space="preserve">By collateral type</w:t>
      </w:r>
    </w:p>
    <w:p>
      <w:pPr>
        <w:pStyle w:val="Compact"/>
        <w:numPr>
          <w:ilvl w:val="0"/>
          <w:numId w:val="1004"/>
        </w:numPr>
      </w:pPr>
      <w:r>
        <w:t xml:space="preserve">By rating (AAA to unrated)</w:t>
      </w:r>
    </w:p>
    <w:p>
      <w:pPr>
        <w:pStyle w:val="Compact"/>
        <w:numPr>
          <w:ilvl w:val="0"/>
          <w:numId w:val="1004"/>
        </w:numPr>
      </w:pPr>
      <w:r>
        <w:t xml:space="preserve">By date range</w:t>
      </w:r>
    </w:p>
    <w:p>
      <w:pPr>
        <w:pStyle w:val="Compact"/>
        <w:numPr>
          <w:ilvl w:val="0"/>
          <w:numId w:val="1004"/>
        </w:numPr>
      </w:pPr>
      <w:r>
        <w:t xml:space="preserve">By issuer/shelf</w:t>
      </w:r>
    </w:p>
    <w:p>
      <w:pPr>
        <w:pStyle w:val="Compact"/>
        <w:numPr>
          <w:ilvl w:val="0"/>
          <w:numId w:val="1004"/>
        </w:numPr>
      </w:pPr>
      <w:r>
        <w:t xml:space="preserve">By spread range</w:t>
      </w:r>
    </w:p>
    <w:bookmarkEnd w:id="26"/>
    <w:bookmarkStart w:id="27" w:name="visualizations"/>
    <w:p>
      <w:pPr>
        <w:pStyle w:val="Heading3"/>
      </w:pPr>
      <w:r>
        <w:t xml:space="preserve">Visualizations</w:t>
      </w:r>
    </w:p>
    <w:p>
      <w:pPr>
        <w:pStyle w:val="Compact"/>
        <w:numPr>
          <w:ilvl w:val="0"/>
          <w:numId w:val="1005"/>
        </w:numPr>
      </w:pPr>
      <w:r>
        <w:t xml:space="preserve">Issuance volume by sector (bar chart, time series)</w:t>
      </w:r>
    </w:p>
    <w:p>
      <w:pPr>
        <w:pStyle w:val="Compact"/>
        <w:numPr>
          <w:ilvl w:val="0"/>
          <w:numId w:val="1005"/>
        </w:numPr>
      </w:pPr>
      <w:r>
        <w:t xml:space="preserve">Spread trends by rating tier (line chart)</w:t>
      </w:r>
    </w:p>
    <w:p>
      <w:pPr>
        <w:pStyle w:val="Compact"/>
        <w:numPr>
          <w:ilvl w:val="0"/>
          <w:numId w:val="1005"/>
        </w:numPr>
      </w:pPr>
      <w:r>
        <w:t xml:space="preserve">Deal count by month/quarter</w:t>
      </w:r>
    </w:p>
    <w:p>
      <w:pPr>
        <w:pStyle w:val="Compact"/>
        <w:numPr>
          <w:ilvl w:val="0"/>
          <w:numId w:val="1005"/>
        </w:numPr>
      </w:pPr>
      <w:r>
        <w:t xml:space="preserve">Heatmap: Sector × Rating × Spread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odule-2-spread-monitor"/>
    <w:p>
      <w:pPr>
        <w:pStyle w:val="Heading2"/>
      </w:pPr>
      <w:r>
        <w:t xml:space="preserve">Module 2: Spread Monitor</w:t>
      </w:r>
    </w:p>
    <w:bookmarkStart w:id="2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relative value across structured credit vs. corporates</w:t>
      </w:r>
    </w:p>
    <w:bookmarkEnd w:id="29"/>
    <w:bookmarkStart w:id="30" w:name="sectors-tracked"/>
    <w:p>
      <w:pPr>
        <w:pStyle w:val="Heading3"/>
      </w:pPr>
      <w:r>
        <w:t xml:space="preserve">Sectors Tracked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 AAA</w:t>
            </w:r>
          </w:p>
        </w:tc>
        <w:tc>
          <w:tcPr/>
          <w:p>
            <w:pPr>
              <w:pStyle w:val="Compact"/>
            </w:pPr>
            <w:r>
              <w:t xml:space="preserve">vs. IG Corps, Treasuries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 Mezz (AA-BBB)</w:t>
            </w:r>
          </w:p>
        </w:tc>
        <w:tc>
          <w:tcPr/>
          <w:p>
            <w:pPr>
              <w:pStyle w:val="Compact"/>
            </w:pPr>
            <w:r>
              <w:t xml:space="preserve">vs. BBB Corps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 BB/Equity</w:t>
            </w:r>
          </w:p>
        </w:tc>
        <w:tc>
          <w:tcPr/>
          <w:p>
            <w:pPr>
              <w:pStyle w:val="Compact"/>
            </w:pPr>
            <w:r>
              <w:t xml:space="preserve">vs. HY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Auto ABS</w:t>
            </w:r>
          </w:p>
        </w:tc>
        <w:tc>
          <w:tcPr/>
          <w:p>
            <w:pPr>
              <w:pStyle w:val="Compact"/>
            </w:pPr>
            <w:r>
              <w:t xml:space="preserve">vs. IG Corps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Subprime Auto ABS</w:t>
            </w:r>
          </w:p>
        </w:tc>
        <w:tc>
          <w:tcPr/>
          <w:p>
            <w:pPr>
              <w:pStyle w:val="Compact"/>
            </w:pPr>
            <w:r>
              <w:t xml:space="preserve">vs. HY Corps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ABS</w:t>
            </w:r>
          </w:p>
        </w:tc>
        <w:tc>
          <w:tcPr/>
          <w:p>
            <w:pPr>
              <w:pStyle w:val="Compact"/>
            </w:pPr>
            <w:r>
              <w:t xml:space="preserve">vs. IG/HY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Esoteric ABS</w:t>
            </w:r>
          </w:p>
        </w:tc>
        <w:tc>
          <w:tcPr/>
          <w:p>
            <w:pPr>
              <w:pStyle w:val="Compact"/>
            </w:pPr>
            <w:r>
              <w:t xml:space="preserve">vs. IG Corps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ABS</w:t>
            </w:r>
          </w:p>
        </w:tc>
        <w:tc>
          <w:tcPr/>
          <w:p>
            <w:pPr>
              <w:pStyle w:val="Compact"/>
            </w:pPr>
            <w:r>
              <w:t xml:space="preserve">vs. IG Corps</w:t>
            </w:r>
          </w:p>
        </w:tc>
      </w:tr>
    </w:tbl>
    <w:bookmarkEnd w:id="30"/>
    <w:bookmarkStart w:id="31" w:name="visualizations-1"/>
    <w:p>
      <w:pPr>
        <w:pStyle w:val="Heading3"/>
      </w:pPr>
      <w:r>
        <w:t xml:space="preserve">Visualizations</w:t>
      </w:r>
    </w:p>
    <w:p>
      <w:pPr>
        <w:pStyle w:val="Compact"/>
        <w:numPr>
          <w:ilvl w:val="0"/>
          <w:numId w:val="1006"/>
        </w:numPr>
      </w:pPr>
      <w:r>
        <w:t xml:space="preserve">Spread time series (interactive, selectable sectors)</w:t>
      </w:r>
    </w:p>
    <w:p>
      <w:pPr>
        <w:pStyle w:val="Compact"/>
        <w:numPr>
          <w:ilvl w:val="0"/>
          <w:numId w:val="1006"/>
        </w:numPr>
      </w:pPr>
      <w:r>
        <w:t xml:space="preserve">Spread differential: Structured vs. Corporate</w:t>
      </w:r>
    </w:p>
    <w:p>
      <w:pPr>
        <w:pStyle w:val="Compact"/>
        <w:numPr>
          <w:ilvl w:val="0"/>
          <w:numId w:val="1006"/>
        </w:numPr>
      </w:pPr>
      <w:r>
        <w:t xml:space="preserve">Z-score: Current spread vs. historical average</w:t>
      </w:r>
    </w:p>
    <w:p>
      <w:pPr>
        <w:pStyle w:val="Compact"/>
        <w:numPr>
          <w:ilvl w:val="0"/>
          <w:numId w:val="1006"/>
        </w:numPr>
      </w:pPr>
      <w:r>
        <w:t xml:space="preserve">Correlation matrix across sectors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module-3-waterfall-modeler-interactive"/>
    <w:p>
      <w:pPr>
        <w:pStyle w:val="Heading2"/>
      </w:pPr>
      <w:r>
        <w:t xml:space="preserve">Module 3: Waterfall Modeler (Interactive)</w:t>
      </w:r>
    </w:p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Educational tool showing how ABS/CLO cash flows work</w:t>
      </w:r>
    </w:p>
    <w:bookmarkEnd w:id="33"/>
    <w:bookmarkStart w:id="38" w:name="key-concepts-to-model"/>
    <w:p>
      <w:pPr>
        <w:pStyle w:val="Heading3"/>
      </w:pPr>
      <w:r>
        <w:t xml:space="preserve">Key Concepts to Model</w:t>
      </w:r>
    </w:p>
    <w:bookmarkStart w:id="34" w:name="a.-payment-priority-waterfall"/>
    <w:p>
      <w:pPr>
        <w:pStyle w:val="Heading4"/>
      </w:pPr>
      <w:r>
        <w:t xml:space="preserve">3a. Payment Priority Waterfall</w:t>
      </w:r>
    </w:p>
    <w:p>
      <w:pPr>
        <w:pStyle w:val="SourceCode"/>
      </w:pPr>
      <w:r>
        <w:rPr>
          <w:rStyle w:val="VerbatimChar"/>
        </w:rPr>
        <w:t xml:space="preserve">1. Senior Fees (trustee, servicer, admin)</w:t>
      </w:r>
      <w:r>
        <w:br/>
      </w:r>
      <w:r>
        <w:rPr>
          <w:rStyle w:val="VerbatimChar"/>
        </w:rPr>
        <w:t xml:space="preserve">2. Class A Interest</w:t>
      </w:r>
      <w:r>
        <w:br/>
      </w:r>
      <w:r>
        <w:rPr>
          <w:rStyle w:val="VerbatimChar"/>
        </w:rPr>
        <w:t xml:space="preserve">3. Class A Principal (if sequential)</w:t>
      </w:r>
      <w:r>
        <w:br/>
      </w:r>
      <w:r>
        <w:rPr>
          <w:rStyle w:val="VerbatimChar"/>
        </w:rPr>
        <w:t xml:space="preserve">4. Class B Interest</w:t>
      </w:r>
      <w:r>
        <w:br/>
      </w:r>
      <w:r>
        <w:rPr>
          <w:rStyle w:val="VerbatimChar"/>
        </w:rPr>
        <w:t xml:space="preserve">5. Class B Principal (if sequential)</w:t>
      </w:r>
      <w:r>
        <w:br/>
      </w:r>
      <w:r>
        <w:rPr>
          <w:rStyle w:val="VerbatimChar"/>
        </w:rPr>
        <w:t xml:space="preserve">6. OC Test - if fails, trap cash</w:t>
      </w:r>
      <w:r>
        <w:br/>
      </w:r>
      <w:r>
        <w:rPr>
          <w:rStyle w:val="VerbatimChar"/>
        </w:rPr>
        <w:t xml:space="preserve">7. Class C Interest</w:t>
      </w:r>
      <w:r>
        <w:br/>
      </w:r>
      <w:r>
        <w:rPr>
          <w:rStyle w:val="VerbatimChar"/>
        </w:rPr>
        <w:t xml:space="preserve">8. Class C Principal</w:t>
      </w:r>
      <w:r>
        <w:br/>
      </w:r>
      <w:r>
        <w:rPr>
          <w:rStyle w:val="VerbatimChar"/>
        </w:rPr>
        <w:t xml:space="preserve">9. Subordinated Fees</w:t>
      </w:r>
      <w:r>
        <w:br/>
      </w:r>
      <w:r>
        <w:rPr>
          <w:rStyle w:val="VerbatimChar"/>
        </w:rPr>
        <w:t xml:space="preserve">10. Residual/Equity</w:t>
      </w:r>
    </w:p>
    <w:bookmarkEnd w:id="34"/>
    <w:bookmarkStart w:id="35" w:name="b.-trigger-events"/>
    <w:p>
      <w:pPr>
        <w:pStyle w:val="Heading4"/>
      </w:pPr>
      <w:r>
        <w:t xml:space="preserve">3b. Trigger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 Test Breach</w:t>
            </w:r>
          </w:p>
        </w:tc>
        <w:tc>
          <w:tcPr/>
          <w:p>
            <w:pPr>
              <w:pStyle w:val="Compact"/>
            </w:pPr>
            <w:r>
              <w:t xml:space="preserve">Collateral value / Notes &lt; threshold</w:t>
            </w:r>
          </w:p>
        </w:tc>
        <w:tc>
          <w:tcPr/>
          <w:p>
            <w:pPr>
              <w:pStyle w:val="Compact"/>
            </w:pPr>
            <w:r>
              <w:t xml:space="preserve">Redirect cash to senior paydown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 Test Breach</w:t>
            </w:r>
          </w:p>
        </w:tc>
        <w:tc>
          <w:tcPr/>
          <w:p>
            <w:pPr>
              <w:pStyle w:val="Compact"/>
            </w:pPr>
            <w:r>
              <w:t xml:space="preserve">Interest coverage falls below threshold</w:t>
            </w:r>
          </w:p>
        </w:tc>
        <w:tc>
          <w:tcPr/>
          <w:p>
            <w:pPr>
              <w:pStyle w:val="Compact"/>
            </w:pPr>
            <w:r>
              <w:t xml:space="preserve">Redirect cash to senior paydown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Delinquency Trigger</w:t>
            </w:r>
          </w:p>
        </w:tc>
        <w:tc>
          <w:tcPr/>
          <w:p>
            <w:pPr>
              <w:pStyle w:val="Compact"/>
            </w:pPr>
            <w:r>
              <w:t xml:space="preserve">60+ day delinquencies &gt; X%</w:t>
            </w:r>
          </w:p>
        </w:tc>
        <w:tc>
          <w:tcPr/>
          <w:p>
            <w:pPr>
              <w:pStyle w:val="Compact"/>
            </w:pPr>
            <w:r>
              <w:t xml:space="preserve">Switch to sequential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Loss Trigger</w:t>
            </w:r>
          </w:p>
        </w:tc>
        <w:tc>
          <w:tcPr/>
          <w:p>
            <w:pPr>
              <w:pStyle w:val="Compact"/>
            </w:pPr>
            <w:r>
              <w:t xml:space="preserve">CNL exceeds threshold</w:t>
            </w:r>
          </w:p>
        </w:tc>
        <w:tc>
          <w:tcPr/>
          <w:p>
            <w:pPr>
              <w:pStyle w:val="Compact"/>
            </w:pPr>
            <w:r>
              <w:t xml:space="preserve">Accelerate senior amortization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Excess Spread Trigger</w:t>
            </w:r>
          </w:p>
        </w:tc>
        <w:tc>
          <w:tcPr/>
          <w:p>
            <w:pPr>
              <w:pStyle w:val="Compact"/>
            </w:pPr>
            <w:r>
              <w:t xml:space="preserve">3-month avg excess spread &lt; 0</w:t>
            </w:r>
          </w:p>
        </w:tc>
        <w:tc>
          <w:tcPr/>
          <w:p>
            <w:pPr>
              <w:pStyle w:val="Compact"/>
            </w:pPr>
            <w:r>
              <w:t xml:space="preserve">Trap cash in reserve</w:t>
            </w:r>
          </w:p>
        </w:tc>
      </w:tr>
    </w:tbl>
    <w:bookmarkEnd w:id="35"/>
    <w:bookmarkStart w:id="36" w:name="c.-interactive-inputs"/>
    <w:p>
      <w:pPr>
        <w:pStyle w:val="Heading4"/>
      </w:pPr>
      <w:r>
        <w:t xml:space="preserve">3c. Interactive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User Can Adjust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rate</w:t>
            </w:r>
          </w:p>
        </w:tc>
        <w:tc>
          <w:tcPr/>
          <w:p>
            <w:pPr>
              <w:pStyle w:val="Compact"/>
            </w:pPr>
            <w:r>
              <w:t xml:space="preserve">0-30%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rate</w:t>
            </w:r>
          </w:p>
        </w:tc>
        <w:tc>
          <w:tcPr/>
          <w:p>
            <w:pPr>
              <w:pStyle w:val="Compact"/>
            </w:pPr>
            <w:r>
              <w:t xml:space="preserve">0-100%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Prepayment speed</w:t>
            </w:r>
          </w:p>
        </w:tc>
        <w:tc>
          <w:tcPr/>
          <w:p>
            <w:pPr>
              <w:pStyle w:val="Compact"/>
            </w:pPr>
            <w:r>
              <w:t xml:space="preserve">0-50% CPR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</w:pPr>
            <w:r>
              <w:t xml:space="preserve">SOFR +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yield</w:t>
            </w:r>
          </w:p>
        </w:tc>
        <w:tc>
          <w:tcPr/>
          <w:p>
            <w:pPr>
              <w:pStyle w:val="Compact"/>
            </w:pPr>
            <w:r>
              <w:t xml:space="preserve">Gross WAC</w:t>
            </w:r>
          </w:p>
        </w:tc>
      </w:tr>
    </w:tbl>
    <w:bookmarkEnd w:id="36"/>
    <w:bookmarkStart w:id="37" w:name="d.-outputs"/>
    <w:p>
      <w:pPr>
        <w:pStyle w:val="Heading4"/>
      </w:pPr>
      <w:r>
        <w:t xml:space="preserve">3d. Outputs</w:t>
      </w:r>
    </w:p>
    <w:p>
      <w:pPr>
        <w:pStyle w:val="Compact"/>
        <w:numPr>
          <w:ilvl w:val="0"/>
          <w:numId w:val="1007"/>
        </w:numPr>
      </w:pPr>
      <w:r>
        <w:t xml:space="preserve">Cash flow to each tranche over time</w:t>
      </w:r>
    </w:p>
    <w:p>
      <w:pPr>
        <w:pStyle w:val="Compact"/>
        <w:numPr>
          <w:ilvl w:val="0"/>
          <w:numId w:val="1007"/>
        </w:numPr>
      </w:pPr>
      <w:r>
        <w:t xml:space="preserve">Break-even default rate by tranche</w:t>
      </w:r>
    </w:p>
    <w:p>
      <w:pPr>
        <w:pStyle w:val="Compact"/>
        <w:numPr>
          <w:ilvl w:val="0"/>
          <w:numId w:val="1007"/>
        </w:numPr>
      </w:pPr>
      <w:r>
        <w:t xml:space="preserve">IRR/yield by tranche under scenario</w:t>
      </w:r>
    </w:p>
    <w:p>
      <w:pPr>
        <w:pStyle w:val="Compact"/>
        <w:numPr>
          <w:ilvl w:val="0"/>
          <w:numId w:val="1007"/>
        </w:numPr>
      </w:pPr>
      <w:r>
        <w:t xml:space="preserve">Trigger breach timing</w:t>
      </w:r>
    </w:p>
    <w:p>
      <w:pPr>
        <w:pStyle w:val="Compact"/>
        <w:numPr>
          <w:ilvl w:val="0"/>
          <w:numId w:val="1007"/>
        </w:numPr>
      </w:pPr>
      <w:r>
        <w:t xml:space="preserve">Credit enhancement remaining</w:t>
      </w:r>
    </w:p>
    <w:bookmarkEnd w:id="37"/>
    <w:bookmarkEnd w:id="38"/>
    <w:bookmarkStart w:id="39" w:name="visualization"/>
    <w:p>
      <w:pPr>
        <w:pStyle w:val="Heading3"/>
      </w:pPr>
      <w:r>
        <w:t xml:space="preserve">Visualization</w:t>
      </w:r>
    </w:p>
    <w:p>
      <w:pPr>
        <w:pStyle w:val="Compact"/>
        <w:numPr>
          <w:ilvl w:val="0"/>
          <w:numId w:val="1008"/>
        </w:numPr>
      </w:pPr>
      <w:r>
        <w:t xml:space="preserve">Animated waterfall showing cash flow priority</w:t>
      </w:r>
    </w:p>
    <w:p>
      <w:pPr>
        <w:pStyle w:val="Compact"/>
        <w:numPr>
          <w:ilvl w:val="0"/>
          <w:numId w:val="1008"/>
        </w:numPr>
      </w:pPr>
      <w:r>
        <w:t xml:space="preserve">Scenario comparison (base vs. stress)</w:t>
      </w:r>
    </w:p>
    <w:p>
      <w:pPr>
        <w:pStyle w:val="Compact"/>
        <w:numPr>
          <w:ilvl w:val="0"/>
          <w:numId w:val="1008"/>
        </w:numPr>
      </w:pPr>
      <w:r>
        <w:t xml:space="preserve">Tranche paydown chart over time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module-4-collateral-deep-dives"/>
    <w:p>
      <w:pPr>
        <w:pStyle w:val="Heading2"/>
      </w:pPr>
      <w:r>
        <w:t xml:space="preserve">Module 4: Collateral Deep Dives</w:t>
      </w:r>
    </w:p>
    <w:bookmarkStart w:id="4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Sector-specific analysis for key ABF collateral types</w:t>
      </w:r>
    </w:p>
    <w:bookmarkEnd w:id="41"/>
    <w:bookmarkStart w:id="42" w:name="a.-auto-abs-dashboard"/>
    <w:p>
      <w:pPr>
        <w:pStyle w:val="Heading3"/>
      </w:pPr>
      <w:r>
        <w:t xml:space="preserve">4a. Auto ABS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Issuance by shelf</w:t>
            </w:r>
          </w:p>
        </w:tc>
        <w:tc>
          <w:tcPr/>
          <w:p>
            <w:pPr>
              <w:pStyle w:val="Compact"/>
            </w:pPr>
            <w:r>
              <w:t xml:space="preserve">ACM, Exeter, Westlake, DriveTime,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Delinquency trends</w:t>
            </w:r>
          </w:p>
        </w:tc>
        <w:tc>
          <w:tcPr/>
          <w:p>
            <w:pPr>
              <w:pStyle w:val="Compact"/>
            </w:pPr>
            <w:r>
              <w:t xml:space="preserve">30/60/90 day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CNL curves</w:t>
            </w:r>
          </w:p>
        </w:tc>
        <w:tc>
          <w:tcPr/>
          <w:p>
            <w:pPr>
              <w:pStyle w:val="Compact"/>
            </w:pPr>
            <w:r>
              <w:t xml:space="preserve">Cumulative net loss by vintage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rates</w:t>
            </w:r>
          </w:p>
        </w:tc>
        <w:tc>
          <w:tcPr/>
          <w:p>
            <w:pPr>
              <w:pStyle w:val="Compact"/>
            </w:pPr>
            <w:r>
              <w:t xml:space="preserve">Repo proceeds /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Manheim Index</w:t>
            </w:r>
          </w:p>
        </w:tc>
        <w:tc>
          <w:tcPr/>
          <w:p>
            <w:pPr>
              <w:pStyle w:val="Compact"/>
            </w:pPr>
            <w:r>
              <w:t xml:space="preserve">Used car value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Subprime vs. Prime</w:t>
            </w:r>
          </w:p>
        </w:tc>
        <w:tc>
          <w:tcPr/>
          <w:p>
            <w:pPr>
              <w:pStyle w:val="Compact"/>
            </w:pPr>
            <w:r>
              <w:t xml:space="preserve">Spread differential</w:t>
            </w:r>
          </w:p>
        </w:tc>
      </w:tr>
    </w:tbl>
    <w:bookmarkEnd w:id="42"/>
    <w:bookmarkStart w:id="43" w:name="b.-equipment-abs-dashboard"/>
    <w:p>
      <w:pPr>
        <w:pStyle w:val="Heading3"/>
      </w:pPr>
      <w:r>
        <w:t xml:space="preserve">4b. Equipment ABS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mix</w:t>
            </w:r>
          </w:p>
        </w:tc>
        <w:tc>
          <w:tcPr/>
          <w:p>
            <w:pPr>
              <w:pStyle w:val="Compact"/>
            </w:pPr>
            <w:r>
              <w:t xml:space="preserve">Construction, medical, tech, 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Obligor concentration</w:t>
            </w:r>
          </w:p>
        </w:tc>
        <w:tc>
          <w:tcPr/>
          <w:p>
            <w:pPr>
              <w:pStyle w:val="Compact"/>
            </w:pPr>
            <w:r>
              <w:t xml:space="preserve">Top 10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 curves</w:t>
            </w:r>
          </w:p>
        </w:tc>
        <w:tc>
          <w:tcPr/>
          <w:p>
            <w:pPr>
              <w:pStyle w:val="Compact"/>
            </w:pPr>
            <w:r>
              <w:t xml:space="preserve">Asset value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 rates</w:t>
            </w:r>
          </w:p>
        </w:tc>
        <w:tc>
          <w:tcPr/>
          <w:p>
            <w:pPr>
              <w:pStyle w:val="Compact"/>
            </w:pPr>
            <w:r>
              <w:t xml:space="preserve">Equipment usage metrics</w:t>
            </w:r>
          </w:p>
        </w:tc>
      </w:tr>
    </w:tbl>
    <w:bookmarkEnd w:id="43"/>
    <w:bookmarkStart w:id="44" w:name="c.-consumer-abs-dashboard"/>
    <w:p>
      <w:pPr>
        <w:pStyle w:val="Heading3"/>
      </w:pPr>
      <w:r>
        <w:t xml:space="preserve">4c. Consumer ABS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FICO distribution</w:t>
            </w:r>
          </w:p>
        </w:tc>
        <w:tc>
          <w:tcPr/>
          <w:p>
            <w:pPr>
              <w:pStyle w:val="Compact"/>
            </w:pPr>
            <w:r>
              <w:t xml:space="preserve">Score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DTI trends</w:t>
            </w:r>
          </w:p>
        </w:tc>
        <w:tc>
          <w:tcPr/>
          <w:p>
            <w:pPr>
              <w:pStyle w:val="Compact"/>
            </w:pPr>
            <w:r>
              <w:t xml:space="preserve">Debt-to-income ratios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rates</w:t>
            </w:r>
          </w:p>
        </w:tc>
        <w:tc>
          <w:tcPr/>
          <w:p>
            <w:pPr>
              <w:pStyle w:val="Compact"/>
            </w:pPr>
            <w:r>
              <w:t xml:space="preserve">Monthly payment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Charge-off trends</w:t>
            </w:r>
          </w:p>
        </w:tc>
        <w:tc>
          <w:tcPr/>
          <w:p>
            <w:pPr>
              <w:pStyle w:val="Compact"/>
            </w:pPr>
            <w:r>
              <w:t xml:space="preserve">Net charge-offs by vintage</w:t>
            </w:r>
          </w:p>
        </w:tc>
      </w:tr>
    </w:tbl>
    <w:bookmarkEnd w:id="44"/>
    <w:bookmarkStart w:id="45" w:name="d.-esoteric-abs-dashboard"/>
    <w:p>
      <w:pPr>
        <w:pStyle w:val="Heading3"/>
      </w:pPr>
      <w:r>
        <w:t xml:space="preserve">4d. Esoteric ABS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types</w:t>
            </w:r>
          </w:p>
        </w:tc>
        <w:tc>
          <w:tcPr/>
          <w:p>
            <w:pPr>
              <w:pStyle w:val="Compact"/>
            </w:pPr>
            <w:r>
              <w:t xml:space="preserve">Royalties, litigation, solar, PACE, timeshare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features</w:t>
            </w:r>
          </w:p>
        </w:tc>
        <w:tc>
          <w:tcPr/>
          <w:p>
            <w:pPr>
              <w:pStyle w:val="Compact"/>
            </w:pPr>
            <w:r>
              <w:t xml:space="preserve">Reserve funds, triggers,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track record</w:t>
            </w:r>
          </w:p>
        </w:tc>
        <w:tc>
          <w:tcPr/>
          <w:p>
            <w:pPr>
              <w:pStyle w:val="Compact"/>
            </w:pPr>
            <w:r>
              <w:t xml:space="preserve">Historical deal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agency views</w:t>
            </w:r>
          </w:p>
        </w:tc>
        <w:tc>
          <w:tcPr/>
          <w:p>
            <w:pPr>
              <w:pStyle w:val="Compact"/>
            </w:pPr>
            <w:r>
              <w:t xml:space="preserve">KBRA, DBRS, S&amp;P, Moody’s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module-5-deal-comparison-tool"/>
    <w:p>
      <w:pPr>
        <w:pStyle w:val="Heading2"/>
      </w:pPr>
      <w:r>
        <w:t xml:space="preserve">Module 5: Deal Comparison Tool</w:t>
      </w:r>
    </w:p>
    <w:bookmarkStart w:id="47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Side-by-side comparison of deals for relative value</w:t>
      </w:r>
    </w:p>
    <w:bookmarkEnd w:id="47"/>
    <w:bookmarkStart w:id="48" w:name="comparison-fields"/>
    <w:p>
      <w:pPr>
        <w:pStyle w:val="Heading3"/>
      </w:pPr>
      <w:r>
        <w:t xml:space="preserve">Comparison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Deal A</w:t>
            </w:r>
          </w:p>
        </w:tc>
        <w:tc>
          <w:tcPr/>
          <w:p>
            <w:pPr>
              <w:pStyle w:val="Compact"/>
            </w:pPr>
            <w:r>
              <w:t xml:space="preserve">Deal B</w:t>
            </w:r>
          </w:p>
        </w:tc>
        <w:tc>
          <w:tcPr/>
          <w:p>
            <w:pPr>
              <w:pStyle w:val="Compact"/>
            </w:pPr>
            <w:r>
              <w:t xml:space="preserve">Deal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Collateral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 Enhancement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 Trigger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Loss Trigger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Historical CNL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9"/>
        </w:numPr>
      </w:pPr>
      <w:r>
        <w:t xml:space="preserve">Relative value score</w:t>
      </w:r>
    </w:p>
    <w:p>
      <w:pPr>
        <w:pStyle w:val="Compact"/>
        <w:numPr>
          <w:ilvl w:val="0"/>
          <w:numId w:val="1009"/>
        </w:numPr>
      </w:pPr>
      <w:r>
        <w:t xml:space="preserve">Risk-adjusted spread ranking</w:t>
      </w:r>
    </w:p>
    <w:p>
      <w:pPr>
        <w:pStyle w:val="Compact"/>
        <w:numPr>
          <w:ilvl w:val="0"/>
          <w:numId w:val="1009"/>
        </w:numPr>
      </w:pPr>
      <w:r>
        <w:t xml:space="preserve">Recommendation summary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odule-6-client-communication-templates"/>
    <w:p>
      <w:pPr>
        <w:pStyle w:val="Heading2"/>
      </w:pPr>
      <w:r>
        <w:t xml:space="preserve">Module 6: Client Communication Templates</w:t>
      </w:r>
    </w:p>
    <w:bookmarkStart w:id="51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Pre-built content for investor education and updates</w:t>
      </w:r>
    </w:p>
    <w:bookmarkEnd w:id="51"/>
    <w:bookmarkStart w:id="52" w:name="templates"/>
    <w:p>
      <w:pPr>
        <w:pStyle w:val="Heading3"/>
      </w:pPr>
      <w:r>
        <w:t xml:space="preserve">Templates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Market Update</w:t>
      </w:r>
      <w:r>
        <w:t xml:space="preserve"> </w:t>
      </w:r>
      <w:r>
        <w:t xml:space="preserve">- Weekly/monthly ABF market summary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Sector Spotlight</w:t>
      </w:r>
      <w:r>
        <w:t xml:space="preserve"> </w:t>
      </w:r>
      <w:r>
        <w:t xml:space="preserve">- Deep dive on specific collateral type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Deal Highlight</w:t>
      </w:r>
      <w:r>
        <w:t xml:space="preserve"> </w:t>
      </w:r>
      <w:r>
        <w:t xml:space="preserve">- New issuance analysis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Waterfall Explainer</w:t>
      </w:r>
      <w:r>
        <w:t xml:space="preserve"> </w:t>
      </w:r>
      <w:r>
        <w:t xml:space="preserve">- How structures protect investors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Relative Value</w:t>
      </w:r>
      <w:r>
        <w:t xml:space="preserve"> </w:t>
      </w:r>
      <w:r>
        <w:t xml:space="preserve">- Why ABF vs. corporates</w:t>
      </w:r>
    </w:p>
    <w:bookmarkEnd w:id="52"/>
    <w:bookmarkStart w:id="53" w:name="format"/>
    <w:p>
      <w:pPr>
        <w:pStyle w:val="Heading3"/>
      </w:pPr>
      <w:r>
        <w:t xml:space="preserve">Format</w:t>
      </w:r>
    </w:p>
    <w:p>
      <w:pPr>
        <w:pStyle w:val="Compact"/>
        <w:numPr>
          <w:ilvl w:val="0"/>
          <w:numId w:val="1011"/>
        </w:numPr>
      </w:pPr>
      <w:r>
        <w:t xml:space="preserve">Exportable to PDF/PowerPoint</w:t>
      </w:r>
    </w:p>
    <w:p>
      <w:pPr>
        <w:pStyle w:val="Compact"/>
        <w:numPr>
          <w:ilvl w:val="0"/>
          <w:numId w:val="1011"/>
        </w:numPr>
      </w:pPr>
      <w:r>
        <w:t xml:space="preserve">Branded templates (Bain/Lincoln)</w:t>
      </w:r>
    </w:p>
    <w:p>
      <w:pPr>
        <w:pStyle w:val="Compact"/>
        <w:numPr>
          <w:ilvl w:val="0"/>
          <w:numId w:val="1011"/>
        </w:numPr>
      </w:pPr>
      <w:r>
        <w:t xml:space="preserve">Editable text + auto-populated charts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section-3-data-sources"/>
    <w:p>
      <w:pPr>
        <w:pStyle w:val="Heading1"/>
      </w:pPr>
      <w:r>
        <w:t xml:space="preserve">Section 3: Data Sources</w:t>
      </w:r>
    </w:p>
    <w:bookmarkStart w:id="56" w:name="public-data"/>
    <w:p>
      <w:pPr>
        <w:pStyle w:val="Heading2"/>
      </w:pPr>
      <w:r>
        <w:t xml:space="preserve">Public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</w:t>
            </w:r>
          </w:p>
        </w:tc>
        <w:tc>
          <w:tcPr/>
          <w:p>
            <w:pPr>
              <w:pStyle w:val="Compact"/>
            </w:pPr>
            <w:r>
              <w:t xml:space="preserve">ABS/CLO pricing, issuance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Intex</w:t>
            </w:r>
          </w:p>
        </w:tc>
        <w:tc>
          <w:tcPr/>
          <w:p>
            <w:pPr>
              <w:pStyle w:val="Compact"/>
            </w:pPr>
            <w:r>
              <w:t xml:space="preserve">Deal structures, waterfalls, cash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EDGAR/SEC</w:t>
            </w:r>
          </w:p>
        </w:tc>
        <w:tc>
          <w:tcPr/>
          <w:p>
            <w:pPr>
              <w:pStyle w:val="Compact"/>
            </w:pPr>
            <w:r>
              <w:t xml:space="preserve">ABS-15G filings, prospectuses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Agencies</w:t>
            </w:r>
          </w:p>
        </w:tc>
        <w:tc>
          <w:tcPr/>
          <w:p>
            <w:pPr>
              <w:pStyle w:val="Compact"/>
            </w:pPr>
            <w:r>
              <w:t xml:space="preserve">Presales, surveillance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Manheim</w:t>
            </w:r>
          </w:p>
        </w:tc>
        <w:tc>
          <w:tcPr/>
          <w:p>
            <w:pPr>
              <w:pStyle w:val="Compact"/>
            </w:pPr>
            <w:r>
              <w:t xml:space="preserve">Used car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Fed/Treasury</w:t>
            </w:r>
          </w:p>
        </w:tc>
        <w:tc>
          <w:tcPr/>
          <w:p>
            <w:pPr>
              <w:pStyle w:val="Compact"/>
            </w:pPr>
            <w:r>
              <w:t xml:space="preserve">Base rates, economic data</w:t>
            </w:r>
          </w:p>
        </w:tc>
      </w:tr>
    </w:tbl>
    <w:bookmarkEnd w:id="56"/>
    <w:bookmarkStart w:id="57" w:name="subscription-data"/>
    <w:p>
      <w:pPr>
        <w:pStyle w:val="Heading2"/>
      </w:pPr>
      <w:r>
        <w:t xml:space="preserve">Subscription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LCD/PitchBook</w:t>
            </w:r>
          </w:p>
        </w:tc>
        <w:tc>
          <w:tcPr/>
          <w:p>
            <w:pPr>
              <w:pStyle w:val="Compact"/>
            </w:pPr>
            <w:r>
              <w:t xml:space="preserve">CLO new issue, spreads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Securitization Report</w:t>
            </w:r>
          </w:p>
        </w:tc>
        <w:tc>
          <w:tcPr/>
          <w:p>
            <w:pPr>
              <w:pStyle w:val="Compact"/>
            </w:pPr>
            <w:r>
              <w:t xml:space="preserve">ABS news, deal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Finsight</w:t>
            </w:r>
          </w:p>
        </w:tc>
        <w:tc>
          <w:tcPr/>
          <w:p>
            <w:pPr>
              <w:pStyle w:val="Compact"/>
            </w:pPr>
            <w:r>
              <w:t xml:space="preserve">ABS pricing, comps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CoreLogic</w:t>
            </w:r>
          </w:p>
        </w:tc>
        <w:tc>
          <w:tcPr/>
          <w:p>
            <w:pPr>
              <w:pStyle w:val="Compact"/>
            </w:pPr>
            <w:r>
              <w:t xml:space="preserve">Consumer credit data</w:t>
            </w:r>
          </w:p>
        </w:tc>
      </w:tr>
    </w:tbl>
    <w:bookmarkEnd w:id="57"/>
    <w:bookmarkStart w:id="58" w:name="internal-data-if-accessible"/>
    <w:p>
      <w:pPr>
        <w:pStyle w:val="Heading2"/>
      </w:pPr>
      <w:r>
        <w:t xml:space="preserve">Internal Data (If Accessible)</w:t>
      </w:r>
    </w:p>
    <w:p>
      <w:pPr>
        <w:pStyle w:val="Compact"/>
        <w:numPr>
          <w:ilvl w:val="0"/>
          <w:numId w:val="1012"/>
        </w:numPr>
      </w:pPr>
      <w:r>
        <w:t xml:space="preserve">Bain deal pipeline</w:t>
      </w:r>
    </w:p>
    <w:p>
      <w:pPr>
        <w:pStyle w:val="Compact"/>
        <w:numPr>
          <w:ilvl w:val="0"/>
          <w:numId w:val="1012"/>
        </w:numPr>
      </w:pPr>
      <w:r>
        <w:t xml:space="preserve">Portfolio holdings</w:t>
      </w:r>
    </w:p>
    <w:p>
      <w:pPr>
        <w:pStyle w:val="Compact"/>
        <w:numPr>
          <w:ilvl w:val="0"/>
          <w:numId w:val="1012"/>
        </w:numPr>
      </w:pPr>
      <w:r>
        <w:t xml:space="preserve">Proprietary loss curves</w:t>
      </w:r>
    </w:p>
    <w:p>
      <w:pPr>
        <w:pStyle w:val="Compact"/>
        <w:numPr>
          <w:ilvl w:val="0"/>
          <w:numId w:val="1012"/>
        </w:numPr>
      </w:pPr>
      <w:r>
        <w:t xml:space="preserve">Client feedback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ction-4-technical-architecture"/>
    <w:p>
      <w:pPr>
        <w:pStyle w:val="Heading1"/>
      </w:pPr>
      <w:r>
        <w:t xml:space="preserve">Section 4: Technical Architecture</w:t>
      </w:r>
    </w:p>
    <w:bookmarkStart w:id="60" w:name="stack-recommendation"/>
    <w:p>
      <w:pPr>
        <w:pStyle w:val="Heading2"/>
      </w:pPr>
      <w:r>
        <w:t xml:space="preserve">Stack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 (Python) or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(pandas, numpy)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or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Plotly, Altair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Streamlit Cloud, AWS, or 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PDF (reportlab), PPTX (python-pptx)</w:t>
            </w:r>
          </w:p>
        </w:tc>
      </w:tr>
    </w:tbl>
    <w:bookmarkEnd w:id="60"/>
    <w:bookmarkStart w:id="61" w:name="mvp-scope-phase-1"/>
    <w:p>
      <w:pPr>
        <w:pStyle w:val="Heading2"/>
      </w:pPr>
      <w:r>
        <w:t xml:space="preserve">MVP Scope (Phase 1)</w:t>
      </w:r>
    </w:p>
    <w:p>
      <w:pPr>
        <w:pStyle w:val="FirstParagraph"/>
      </w:pPr>
      <w:r>
        <w:rPr>
          <w:b/>
          <w:bCs/>
        </w:rPr>
        <w:t xml:space="preserve">Build first:</w:t>
      </w:r>
      <w:r>
        <w:t xml:space="preserve"> </w:t>
      </w:r>
      <w:r>
        <w:t xml:space="preserve">1. Issuance tracker (static data, manual updates)</w:t>
      </w:r>
      <w:r>
        <w:t xml:space="preserve"> </w:t>
      </w:r>
      <w:r>
        <w:t xml:space="preserve">2. Spread monitor (key sectors)</w:t>
      </w:r>
      <w:r>
        <w:t xml:space="preserve"> </w:t>
      </w:r>
      <w:r>
        <w:t xml:space="preserve">3. Simple waterfall modeler (one structure type)</w:t>
      </w:r>
      <w:r>
        <w:t xml:space="preserve"> </w:t>
      </w:r>
      <w:r>
        <w:t xml:space="preserve">4. Deal comparison (3-5 deals)</w:t>
      </w:r>
    </w:p>
    <w:p>
      <w:pPr>
        <w:pStyle w:val="BodyText"/>
      </w:pPr>
      <w:r>
        <w:rPr>
          <w:b/>
          <w:bCs/>
        </w:rPr>
        <w:t xml:space="preserve">Phase 2:</w:t>
      </w:r>
      <w:r>
        <w:t xml:space="preserve"> </w:t>
      </w:r>
      <w:r>
        <w:t xml:space="preserve">- Live data feeds</w:t>
      </w:r>
      <w:r>
        <w:t xml:space="preserve"> </w:t>
      </w:r>
      <w:r>
        <w:t xml:space="preserve">- Multiple waterfall templates</w:t>
      </w:r>
      <w:r>
        <w:t xml:space="preserve"> </w:t>
      </w:r>
      <w:r>
        <w:t xml:space="preserve">- Client export functionality</w:t>
      </w:r>
      <w:r>
        <w:t xml:space="preserve"> </w:t>
      </w:r>
      <w:r>
        <w:t xml:space="preserve">- Full collateral dashboards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ection-5-key-metrics-kpis"/>
    <w:p>
      <w:pPr>
        <w:pStyle w:val="Heading1"/>
      </w:pPr>
      <w:r>
        <w:t xml:space="preserve">Section 5: Key Metrics &amp; KPIs</w:t>
      </w:r>
    </w:p>
    <w:bookmarkStart w:id="63" w:name="for-investors"/>
    <w:p>
      <w:pPr>
        <w:pStyle w:val="Heading2"/>
      </w:pPr>
      <w:r>
        <w:t xml:space="preserve">For Investors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vs. Corporates</w:t>
            </w:r>
          </w:p>
        </w:tc>
        <w:tc>
          <w:tcPr/>
          <w:p>
            <w:pPr>
              <w:pStyle w:val="Compact"/>
            </w:pPr>
            <w:r>
              <w:t xml:space="preserve">Relative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Enhancement</w:t>
            </w:r>
          </w:p>
        </w:tc>
        <w:tc>
          <w:tcPr/>
          <w:p>
            <w:pPr>
              <w:pStyle w:val="Compact"/>
            </w:pPr>
            <w:r>
              <w:t xml:space="preserve">Downside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  <w:r>
              <w:t xml:space="preserve">Duration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CNL</w:t>
            </w:r>
          </w:p>
        </w:tc>
        <w:tc>
          <w:tcPr/>
          <w:p>
            <w:pPr>
              <w:pStyle w:val="Compact"/>
            </w:pPr>
            <w:r>
              <w:t xml:space="preserve">Loss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Break-even Default</w:t>
            </w:r>
          </w:p>
        </w:tc>
        <w:tc>
          <w:tcPr/>
          <w:p>
            <w:pPr>
              <w:pStyle w:val="Compact"/>
            </w:pPr>
            <w:r>
              <w:t xml:space="preserve">Stress capacity</w:t>
            </w:r>
          </w:p>
        </w:tc>
      </w:tr>
    </w:tbl>
    <w:bookmarkEnd w:id="63"/>
    <w:bookmarkStart w:id="64" w:name="for-product-team"/>
    <w:p>
      <w:pPr>
        <w:pStyle w:val="Heading2"/>
      </w:pPr>
      <w:r>
        <w:t xml:space="preserve">For Product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Issuance Volume</w:t>
            </w:r>
          </w:p>
        </w:tc>
        <w:tc>
          <w:tcPr/>
          <w:p>
            <w:pPr>
              <w:pStyle w:val="Compact"/>
            </w:pPr>
            <w:r>
              <w:t xml:space="preserve">Market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Trends</w:t>
            </w:r>
          </w:p>
        </w:tc>
        <w:tc>
          <w:tcPr/>
          <w:p>
            <w:pPr>
              <w:pStyle w:val="Compact"/>
            </w:pPr>
            <w:r>
              <w:t xml:space="preserve">Timing of investments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Oversubscription</w:t>
            </w:r>
          </w:p>
        </w:tc>
        <w:tc>
          <w:tcPr/>
          <w:p>
            <w:pPr>
              <w:pStyle w:val="Compact"/>
            </w:pPr>
            <w:r>
              <w:t xml:space="preserve">Demand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Issuer Entry</w:t>
            </w:r>
          </w:p>
        </w:tc>
        <w:tc>
          <w:tcPr/>
          <w:p>
            <w:pPr>
              <w:pStyle w:val="Compact"/>
            </w:pPr>
            <w:r>
              <w:t xml:space="preserve">Market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Rotation</w:t>
            </w:r>
          </w:p>
        </w:tc>
        <w:tc>
          <w:tcPr/>
          <w:p>
            <w:pPr>
              <w:pStyle w:val="Compact"/>
            </w:pPr>
            <w:r>
              <w:t xml:space="preserve">Where capital is flowing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section-6-sample-use-cases"/>
    <w:p>
      <w:pPr>
        <w:pStyle w:val="Heading1"/>
      </w:pPr>
      <w:r>
        <w:t xml:space="preserve">Section 6: Sample Use Cases</w:t>
      </w:r>
    </w:p>
    <w:bookmarkStart w:id="66" w:name="use-case-1-lincoln-fund-client-meeting"/>
    <w:p>
      <w:pPr>
        <w:pStyle w:val="Heading2"/>
      </w:pPr>
      <w:r>
        <w:t xml:space="preserve">Use Case 1: Lincoln Fund Client Meeting</w:t>
      </w:r>
    </w:p>
    <w:p>
      <w:pPr>
        <w:pStyle w:val="BlockText"/>
      </w:pPr>
      <w:r>
        <w:t xml:space="preserve">“Show me how a subprime auto ABS protects my investment in a downturn”</w:t>
      </w:r>
    </w:p>
    <w:p>
      <w:pPr>
        <w:pStyle w:val="FirstParagraph"/>
      </w:pPr>
      <w:r>
        <w:rPr>
          <w:b/>
          <w:bCs/>
        </w:rPr>
        <w:t xml:space="preserve">Portal solution:</w:t>
      </w:r>
      <w:r>
        <w:t xml:space="preserve"> </w:t>
      </w:r>
      <w:r>
        <w:t xml:space="preserve">- Pull up waterfall modeler</w:t>
      </w:r>
      <w:r>
        <w:t xml:space="preserve"> </w:t>
      </w:r>
      <w:r>
        <w:t xml:space="preserve">- Show OC test trigger at 20% losses</w:t>
      </w:r>
      <w:r>
        <w:t xml:space="preserve"> </w:t>
      </w:r>
      <w:r>
        <w:t xml:space="preserve">- Demonstrate sequential pay redirect</w:t>
      </w:r>
      <w:r>
        <w:t xml:space="preserve"> </w:t>
      </w:r>
      <w:r>
        <w:t xml:space="preserve">- Compare to corporate bond (no structural protection)</w:t>
      </w:r>
    </w:p>
    <w:bookmarkEnd w:id="66"/>
    <w:bookmarkStart w:id="67" w:name="use-case-2-investment-committee"/>
    <w:p>
      <w:pPr>
        <w:pStyle w:val="Heading2"/>
      </w:pPr>
      <w:r>
        <w:t xml:space="preserve">Use Case 2: Investment Committee</w:t>
      </w:r>
    </w:p>
    <w:p>
      <w:pPr>
        <w:pStyle w:val="BlockText"/>
      </w:pPr>
      <w:r>
        <w:t xml:space="preserve">“What’s the relative value in CLO mezz vs. BBB corps?”</w:t>
      </w:r>
    </w:p>
    <w:p>
      <w:pPr>
        <w:pStyle w:val="FirstParagraph"/>
      </w:pPr>
      <w:r>
        <w:rPr>
          <w:b/>
          <w:bCs/>
        </w:rPr>
        <w:t xml:space="preserve">Portal solution:</w:t>
      </w:r>
      <w:r>
        <w:t xml:space="preserve"> </w:t>
      </w:r>
      <w:r>
        <w:t xml:space="preserve">- Spread monitor: CLO BBB at +350 vs. Corp BBB at +150</w:t>
      </w:r>
      <w:r>
        <w:t xml:space="preserve"> </w:t>
      </w:r>
      <w:r>
        <w:t xml:space="preserve">- Historical Z-score: CLO mezz 1.5 std devs wide</w:t>
      </w:r>
      <w:r>
        <w:t xml:space="preserve"> </w:t>
      </w:r>
      <w:r>
        <w:t xml:space="preserve">- Show credit enhancement differential</w:t>
      </w:r>
    </w:p>
    <w:bookmarkEnd w:id="67"/>
    <w:bookmarkStart w:id="68" w:name="use-case-3-market-update"/>
    <w:p>
      <w:pPr>
        <w:pStyle w:val="Heading2"/>
      </w:pPr>
      <w:r>
        <w:t xml:space="preserve">Use Case 3: Market Update</w:t>
      </w:r>
    </w:p>
    <w:p>
      <w:pPr>
        <w:pStyle w:val="BlockText"/>
      </w:pPr>
      <w:r>
        <w:t xml:space="preserve">“What priced this week in ABS?”</w:t>
      </w:r>
    </w:p>
    <w:p>
      <w:pPr>
        <w:pStyle w:val="FirstParagraph"/>
      </w:pPr>
      <w:r>
        <w:rPr>
          <w:b/>
          <w:bCs/>
        </w:rPr>
        <w:t xml:space="preserve">Portal solution:</w:t>
      </w:r>
      <w:r>
        <w:t xml:space="preserve"> </w:t>
      </w:r>
      <w:r>
        <w:t xml:space="preserve">- Issuance tracker filtered to last 7 days</w:t>
      </w:r>
      <w:r>
        <w:t xml:space="preserve"> </w:t>
      </w:r>
      <w:r>
        <w:t xml:space="preserve">- Summary by sector</w:t>
      </w:r>
      <w:r>
        <w:t xml:space="preserve"> </w:t>
      </w:r>
      <w:r>
        <w:t xml:space="preserve">- Notable deals flagged</w:t>
      </w:r>
      <w:r>
        <w:t xml:space="preserve"> </w:t>
      </w:r>
      <w:r>
        <w:t xml:space="preserve">- Export to PDF for distribution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section-7-competitive-differentiation"/>
    <w:p>
      <w:pPr>
        <w:pStyle w:val="Heading1"/>
      </w:pPr>
      <w:r>
        <w:t xml:space="preserve">Section 7: Competitive Differentiation</w:t>
      </w:r>
    </w:p>
    <w:bookmarkStart w:id="70" w:name="what-makes-this-valuable"/>
    <w:p>
      <w:pPr>
        <w:pStyle w:val="Heading2"/>
      </w:pPr>
      <w:r>
        <w:t xml:space="preserve">What Makes This Valuable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Waterfall Visualization</w:t>
      </w:r>
      <w:r>
        <w:t xml:space="preserve"> </w:t>
      </w:r>
      <w:r>
        <w:t xml:space="preserve">- Most portals show data; this shows</w:t>
      </w:r>
      <w:r>
        <w:t xml:space="preserve"> </w:t>
      </w:r>
      <w:r>
        <w:rPr>
          <w:i/>
          <w:iCs/>
        </w:rPr>
        <w:t xml:space="preserve">how structures 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ABF + Structured Credit</w:t>
      </w:r>
      <w:r>
        <w:t xml:space="preserve"> </w:t>
      </w:r>
      <w:r>
        <w:t xml:space="preserve">- Covers private AND public markets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Client-Ready Exports</w:t>
      </w:r>
      <w:r>
        <w:t xml:space="preserve"> </w:t>
      </w:r>
      <w:r>
        <w:t xml:space="preserve">- Not just internal analytics; supports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Lincoln Integration</w:t>
      </w:r>
      <w:r>
        <w:t xml:space="preserve"> </w:t>
      </w:r>
      <w:r>
        <w:t xml:space="preserve">- Tailored for retail investor education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Interactive Scenarios</w:t>
      </w:r>
      <w:r>
        <w:t xml:space="preserve"> </w:t>
      </w:r>
      <w:r>
        <w:t xml:space="preserve">- Users can stress test, not just observe</w:t>
      </w:r>
    </w:p>
    <w:bookmarkEnd w:id="70"/>
    <w:bookmarkStart w:id="71" w:name="what-competitors-have"/>
    <w:p>
      <w:pPr>
        <w:pStyle w:val="Heading2"/>
      </w:pPr>
      <w:r>
        <w:t xml:space="preserve">What Competitors Have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</w:t>
            </w:r>
          </w:p>
        </w:tc>
        <w:tc>
          <w:tcPr/>
          <w:p>
            <w:pPr>
              <w:pStyle w:val="Compact"/>
            </w:pPr>
            <w:r>
              <w:t xml:space="preserve">Data depth</w:t>
            </w:r>
          </w:p>
        </w:tc>
        <w:tc>
          <w:tcPr/>
          <w:p>
            <w:pPr>
              <w:pStyle w:val="Compact"/>
            </w:pPr>
            <w:r>
              <w:t xml:space="preserve">No ABF focus,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Intex</w:t>
            </w:r>
          </w:p>
        </w:tc>
        <w:tc>
          <w:tcPr/>
          <w:p>
            <w:pPr>
              <w:pStyle w:val="Compact"/>
            </w:pPr>
            <w:r>
              <w:t xml:space="preserve">Waterfall modeling</w:t>
            </w:r>
          </w:p>
        </w:tc>
        <w:tc>
          <w:tcPr/>
          <w:p>
            <w:pPr>
              <w:pStyle w:val="Compact"/>
            </w:pPr>
            <w:r>
              <w:t xml:space="preserve">Complex, not client-facing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LCD</w:t>
            </w:r>
          </w:p>
        </w:tc>
        <w:tc>
          <w:tcPr/>
          <w:p>
            <w:pPr>
              <w:pStyle w:val="Compact"/>
            </w:pPr>
            <w:r>
              <w:t xml:space="preserve">CLO coverage</w:t>
            </w:r>
          </w:p>
        </w:tc>
        <w:tc>
          <w:tcPr/>
          <w:p>
            <w:pPr>
              <w:pStyle w:val="Compact"/>
            </w:pPr>
            <w:r>
              <w:t xml:space="preserve">Limited ABS/ABF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tools</w:t>
            </w:r>
          </w:p>
        </w:tc>
        <w:tc>
          <w:tcPr/>
          <w:p>
            <w:pPr>
              <w:pStyle w:val="Compact"/>
            </w:pPr>
            <w: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Often siloed, no visualization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section-8-next-steps"/>
    <w:p>
      <w:pPr>
        <w:pStyle w:val="Heading1"/>
      </w:pPr>
      <w:r>
        <w:t xml:space="preserve">Section 8: Next Steps</w:t>
      </w:r>
    </w:p>
    <w:bookmarkStart w:id="73" w:name="for-brett"/>
    <w:p>
      <w:pPr>
        <w:pStyle w:val="Heading2"/>
      </w:pPr>
      <w:r>
        <w:t xml:space="preserve">For Brett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Send email to Jeff</w:t>
      </w:r>
      <w:r>
        <w:t xml:space="preserve"> </w:t>
      </w:r>
      <w:r>
        <w:t xml:space="preserve">(done - awaiting response)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 MVP</w:t>
      </w:r>
      <w:r>
        <w:t xml:space="preserve"> </w:t>
      </w:r>
      <w:r>
        <w:t xml:space="preserve">- Start with issuance tracker + simple waterfall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Populate with real data</w:t>
      </w:r>
      <w:r>
        <w:t xml:space="preserve"> </w:t>
      </w:r>
      <w:r>
        <w:t xml:space="preserve">- ACMAT, recent CLOs, key sectors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Demo-ready version</w:t>
      </w:r>
      <w:r>
        <w:t xml:space="preserve"> </w:t>
      </w:r>
      <w:r>
        <w:t xml:space="preserve">- 2-3 screens, interactive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Present to team</w:t>
      </w:r>
      <w:r>
        <w:t xml:space="preserve"> </w:t>
      </w:r>
      <w:r>
        <w:t xml:space="preserve">- Show value, get feedback</w:t>
      </w:r>
    </w:p>
    <w:bookmarkEnd w:id="73"/>
    <w:bookmarkStart w:id="74" w:name="timeline-suggested"/>
    <w:p>
      <w:pPr>
        <w:pStyle w:val="Heading2"/>
      </w:pPr>
      <w:r>
        <w:t xml:space="preserve">Timeline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Wireframes + 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Issuance tracker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Spread monitor + waterfall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Polish + demo prep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1" w:name="appendix-abf-collateral-taxonomy"/>
    <w:p>
      <w:pPr>
        <w:pStyle w:val="Heading1"/>
      </w:pPr>
      <w:r>
        <w:t xml:space="preserve">Appendix: ABF Collateral Taxonomy</w:t>
      </w:r>
    </w:p>
    <w:bookmarkStart w:id="76" w:name="consumer-assets"/>
    <w:p>
      <w:pPr>
        <w:pStyle w:val="Heading2"/>
      </w:pPr>
      <w:r>
        <w:t xml:space="preserve">Consumer Assets</w:t>
      </w:r>
    </w:p>
    <w:p>
      <w:pPr>
        <w:pStyle w:val="Compact"/>
        <w:numPr>
          <w:ilvl w:val="0"/>
          <w:numId w:val="1015"/>
        </w:numPr>
      </w:pPr>
      <w:r>
        <w:t xml:space="preserve">Prime auto loans</w:t>
      </w:r>
    </w:p>
    <w:p>
      <w:pPr>
        <w:pStyle w:val="Compact"/>
        <w:numPr>
          <w:ilvl w:val="0"/>
          <w:numId w:val="1015"/>
        </w:numPr>
      </w:pPr>
      <w:r>
        <w:t xml:space="preserve">Subprime auto loans</w:t>
      </w:r>
    </w:p>
    <w:p>
      <w:pPr>
        <w:pStyle w:val="Compact"/>
        <w:numPr>
          <w:ilvl w:val="0"/>
          <w:numId w:val="1015"/>
        </w:numPr>
      </w:pPr>
      <w:r>
        <w:t xml:space="preserve">Credit card receivables</w:t>
      </w:r>
    </w:p>
    <w:p>
      <w:pPr>
        <w:pStyle w:val="Compact"/>
        <w:numPr>
          <w:ilvl w:val="0"/>
          <w:numId w:val="1015"/>
        </w:numPr>
      </w:pPr>
      <w:r>
        <w:t xml:space="preserve">Student loans (private)</w:t>
      </w:r>
    </w:p>
    <w:p>
      <w:pPr>
        <w:pStyle w:val="Compact"/>
        <w:numPr>
          <w:ilvl w:val="0"/>
          <w:numId w:val="1015"/>
        </w:numPr>
      </w:pPr>
      <w:r>
        <w:t xml:space="preserve">Personal loans / marketplace lending</w:t>
      </w:r>
    </w:p>
    <w:p>
      <w:pPr>
        <w:pStyle w:val="Compact"/>
        <w:numPr>
          <w:ilvl w:val="0"/>
          <w:numId w:val="1015"/>
        </w:numPr>
      </w:pPr>
      <w:r>
        <w:t xml:space="preserve">BNPL (Buy Now Pay Later)</w:t>
      </w:r>
    </w:p>
    <w:bookmarkEnd w:id="76"/>
    <w:bookmarkStart w:id="77" w:name="commercial-assets"/>
    <w:p>
      <w:pPr>
        <w:pStyle w:val="Heading2"/>
      </w:pPr>
      <w:r>
        <w:t xml:space="preserve">Commercial Assets</w:t>
      </w:r>
    </w:p>
    <w:p>
      <w:pPr>
        <w:pStyle w:val="Compact"/>
        <w:numPr>
          <w:ilvl w:val="0"/>
          <w:numId w:val="1016"/>
        </w:numPr>
      </w:pPr>
      <w:r>
        <w:t xml:space="preserve">Equipment leases (construction, medical, tech)</w:t>
      </w:r>
    </w:p>
    <w:p>
      <w:pPr>
        <w:pStyle w:val="Compact"/>
        <w:numPr>
          <w:ilvl w:val="0"/>
          <w:numId w:val="1016"/>
        </w:numPr>
      </w:pPr>
      <w:r>
        <w:t xml:space="preserve">Fleet/vehicle leases</w:t>
      </w:r>
    </w:p>
    <w:p>
      <w:pPr>
        <w:pStyle w:val="Compact"/>
        <w:numPr>
          <w:ilvl w:val="0"/>
          <w:numId w:val="1016"/>
        </w:numPr>
      </w:pPr>
      <w:r>
        <w:t xml:space="preserve">Small business loans</w:t>
      </w:r>
    </w:p>
    <w:p>
      <w:pPr>
        <w:pStyle w:val="Compact"/>
        <w:numPr>
          <w:ilvl w:val="0"/>
          <w:numId w:val="1016"/>
        </w:numPr>
      </w:pPr>
      <w:r>
        <w:t xml:space="preserve">Franchise loans</w:t>
      </w:r>
    </w:p>
    <w:p>
      <w:pPr>
        <w:pStyle w:val="Compact"/>
        <w:numPr>
          <w:ilvl w:val="0"/>
          <w:numId w:val="1016"/>
        </w:numPr>
      </w:pPr>
      <w:r>
        <w:t xml:space="preserve">Inventory finance</w:t>
      </w:r>
    </w:p>
    <w:bookmarkEnd w:id="77"/>
    <w:bookmarkStart w:id="78" w:name="hard-assets"/>
    <w:p>
      <w:pPr>
        <w:pStyle w:val="Heading2"/>
      </w:pPr>
      <w:r>
        <w:t xml:space="preserve">Hard Assets</w:t>
      </w:r>
    </w:p>
    <w:p>
      <w:pPr>
        <w:pStyle w:val="Compact"/>
        <w:numPr>
          <w:ilvl w:val="0"/>
          <w:numId w:val="1017"/>
        </w:numPr>
      </w:pPr>
      <w:r>
        <w:t xml:space="preserve">Aircraft (operating leases, loans)</w:t>
      </w:r>
    </w:p>
    <w:p>
      <w:pPr>
        <w:pStyle w:val="Compact"/>
        <w:numPr>
          <w:ilvl w:val="0"/>
          <w:numId w:val="1017"/>
        </w:numPr>
      </w:pPr>
      <w:r>
        <w:t xml:space="preserve">Railcar</w:t>
      </w:r>
    </w:p>
    <w:p>
      <w:pPr>
        <w:pStyle w:val="Compact"/>
        <w:numPr>
          <w:ilvl w:val="0"/>
          <w:numId w:val="1017"/>
        </w:numPr>
      </w:pPr>
      <w:r>
        <w:t xml:space="preserve">Shipping containers</w:t>
      </w:r>
    </w:p>
    <w:p>
      <w:pPr>
        <w:pStyle w:val="Compact"/>
        <w:numPr>
          <w:ilvl w:val="0"/>
          <w:numId w:val="1017"/>
        </w:numPr>
      </w:pPr>
      <w:r>
        <w:t xml:space="preserve">Solar panels / PACE</w:t>
      </w:r>
    </w:p>
    <w:p>
      <w:pPr>
        <w:pStyle w:val="Compact"/>
        <w:numPr>
          <w:ilvl w:val="0"/>
          <w:numId w:val="1017"/>
        </w:numPr>
      </w:pPr>
      <w:r>
        <w:t xml:space="preserve">Data centers / digital infrastructure</w:t>
      </w:r>
    </w:p>
    <w:bookmarkEnd w:id="78"/>
    <w:bookmarkStart w:id="79" w:name="real-estate"/>
    <w:p>
      <w:pPr>
        <w:pStyle w:val="Heading2"/>
      </w:pPr>
      <w:r>
        <w:t xml:space="preserve">Real Estate</w:t>
      </w:r>
    </w:p>
    <w:p>
      <w:pPr>
        <w:pStyle w:val="Compact"/>
        <w:numPr>
          <w:ilvl w:val="0"/>
          <w:numId w:val="1018"/>
        </w:numPr>
      </w:pPr>
      <w:r>
        <w:t xml:space="preserve">Residential mortgages (non-QM, jumbo)</w:t>
      </w:r>
    </w:p>
    <w:p>
      <w:pPr>
        <w:pStyle w:val="Compact"/>
        <w:numPr>
          <w:ilvl w:val="0"/>
          <w:numId w:val="1018"/>
        </w:numPr>
      </w:pPr>
      <w:r>
        <w:t xml:space="preserve">Home equity (HELOCs, HEIs)</w:t>
      </w:r>
    </w:p>
    <w:p>
      <w:pPr>
        <w:pStyle w:val="Compact"/>
        <w:numPr>
          <w:ilvl w:val="0"/>
          <w:numId w:val="1018"/>
        </w:numPr>
      </w:pPr>
      <w:r>
        <w:t xml:space="preserve">Commercial mortgages (CRE CLO)</w:t>
      </w:r>
    </w:p>
    <w:p>
      <w:pPr>
        <w:pStyle w:val="Compact"/>
        <w:numPr>
          <w:ilvl w:val="0"/>
          <w:numId w:val="1018"/>
        </w:numPr>
      </w:pPr>
      <w:r>
        <w:t xml:space="preserve">Single-family rental (SFR)</w:t>
      </w:r>
    </w:p>
    <w:bookmarkEnd w:id="79"/>
    <w:bookmarkStart w:id="80" w:name="financial-esoteric"/>
    <w:p>
      <w:pPr>
        <w:pStyle w:val="Heading2"/>
      </w:pPr>
      <w:r>
        <w:t xml:space="preserve">Financial / Esoteric</w:t>
      </w:r>
    </w:p>
    <w:p>
      <w:pPr>
        <w:pStyle w:val="Compact"/>
        <w:numPr>
          <w:ilvl w:val="0"/>
          <w:numId w:val="1019"/>
        </w:numPr>
      </w:pPr>
      <w:r>
        <w:t xml:space="preserve">Music royalties</w:t>
      </w:r>
    </w:p>
    <w:p>
      <w:pPr>
        <w:pStyle w:val="Compact"/>
        <w:numPr>
          <w:ilvl w:val="0"/>
          <w:numId w:val="1019"/>
        </w:numPr>
      </w:pPr>
      <w:r>
        <w:t xml:space="preserve">Pharma royalties</w:t>
      </w:r>
    </w:p>
    <w:p>
      <w:pPr>
        <w:pStyle w:val="Compact"/>
        <w:numPr>
          <w:ilvl w:val="0"/>
          <w:numId w:val="1019"/>
        </w:numPr>
      </w:pPr>
      <w:r>
        <w:t xml:space="preserve">Litigation finance</w:t>
      </w:r>
    </w:p>
    <w:p>
      <w:pPr>
        <w:pStyle w:val="Compact"/>
        <w:numPr>
          <w:ilvl w:val="0"/>
          <w:numId w:val="1019"/>
        </w:numPr>
      </w:pPr>
      <w:r>
        <w:t xml:space="preserve">Whole business securitization</w:t>
      </w:r>
    </w:p>
    <w:p>
      <w:pPr>
        <w:pStyle w:val="Compact"/>
        <w:numPr>
          <w:ilvl w:val="0"/>
          <w:numId w:val="1019"/>
        </w:numPr>
      </w:pPr>
      <w:r>
        <w:t xml:space="preserve">Sports franchise finance</w:t>
      </w:r>
    </w:p>
    <w:p>
      <w:pPr>
        <w:pStyle w:val="Compact"/>
        <w:numPr>
          <w:ilvl w:val="0"/>
          <w:numId w:val="1019"/>
        </w:numPr>
      </w:pPr>
      <w:r>
        <w:t xml:space="preserve">Insurance-linked securities</w:t>
      </w:r>
    </w:p>
    <w:p>
      <w:pPr>
        <w:pStyle w:val="Compact"/>
        <w:numPr>
          <w:ilvl w:val="0"/>
          <w:numId w:val="1019"/>
        </w:numPr>
      </w:pPr>
      <w:r>
        <w:t xml:space="preserve">Timeshare receivables</w:t>
      </w:r>
    </w:p>
    <w:p>
      <w:pPr>
        <w:pStyle w:val="Compact"/>
        <w:numPr>
          <w:ilvl w:val="0"/>
          <w:numId w:val="1019"/>
        </w:numPr>
      </w:pPr>
      <w:r>
        <w:t xml:space="preserve">Cell tower / spectrum</w:t>
      </w:r>
    </w:p>
    <w:p>
      <w:pPr>
        <w:pStyle w:val="Compact"/>
        <w:numPr>
          <w:ilvl w:val="0"/>
          <w:numId w:val="1019"/>
        </w:numPr>
      </w:pPr>
      <w:r>
        <w:t xml:space="preserve">Subscription / SaaS revenue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for discussion with Bain Capital Credit</w:t>
      </w:r>
    </w:p>
    <w:p>
      <w:pPr>
        <w:pStyle w:val="BodyText"/>
      </w:pPr>
      <w:r>
        <w:rPr>
          <w:i/>
          <w:iCs/>
        </w:rPr>
        <w:t xml:space="preserve">Sources: Bain Capital press releases, KKR ABF research, PIMCO ABF research, Structured Credit Investor, Lincoln Financial announcements, NAIC primers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ww.baincapital.com/news/legacy-corporate-lending-new-asset-based-lending-company-launches-investment-bain-capital" TargetMode="External" /><Relationship Type="http://schemas.openxmlformats.org/officeDocument/2006/relationships/hyperlink" Id="rId18" Target="https://www.kkr.com/insights/abf-private-credit" TargetMode="External" /><Relationship Type="http://schemas.openxmlformats.org/officeDocument/2006/relationships/hyperlink" Id="rId12" Target="https://www.lincolnfinancial.com/public/aboutus/newsroom/pressreleases/Lincoln-Financial-and-Bain-Capital-launch-new-private-market-fun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baincapital.com/news/legacy-corporate-lending-new-asset-based-lending-company-launches-investment-bain-capital" TargetMode="External" /><Relationship Type="http://schemas.openxmlformats.org/officeDocument/2006/relationships/hyperlink" Id="rId18" Target="https://www.kkr.com/insights/abf-private-credit" TargetMode="External" /><Relationship Type="http://schemas.openxmlformats.org/officeDocument/2006/relationships/hyperlink" Id="rId12" Target="https://www.lincolnfinancial.com/public/aboutus/newsroom/pressreleases/Lincoln-Financial-and-Bain-Capital-launch-new-private-market-fu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2025-12-17T11:29:56Z</dcterms:created>
  <dcterms:modified xsi:type="dcterms:W3CDTF">2025-12-17T11:29:56Z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