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PROPERTY INVESTMENT REPORT</w:t>
      </w:r>
    </w:p>
    <w:p>
      <w:pPr>
        <w:spacing w:after="400"/>
        <w:jc w:val="center"/>
      </w:pPr>
      <w:r>
        <w:rPr>
          <w:color w:val="64748B"/>
          <w:sz w:val="24"/>
          <w:szCs w:val="24"/>
        </w:rPr>
        <w:t xml:space="preserve">Brevard County Tax Deed Auction | Case #</w:t>
      </w:r>
      <w:r>
        <w:rPr>
          <w:b/>
          <w:bCs/>
          <w:color w:val="1E3A5F"/>
          <w:sz w:val="24"/>
          <w:szCs w:val="24"/>
        </w:rPr>
        <w:t xml:space="preserve">250179</w:t>
      </w:r>
    </w:p>
    <w:p>
      <w:pPr>
        <w:spacing w:before="200" w:after="300"/>
        <w:jc w:val="center"/>
      </w:pPr>
      <w:r>
        <w:rPr>
          <w:b/>
          <w:bCs/>
          <w:color w:val="1E3A5F"/>
          <w:sz w:val="32"/>
          <w:szCs w:val="32"/>
        </w:rPr>
        <w:t xml:space="preserve">AI RECOMMENDATION: </w:t>
      </w:r>
      <w:r>
        <w:rPr>
          <w:b/>
          <w:bCs/>
          <w:color w:val="10B981"/>
          <w:sz w:val="32"/>
          <w:szCs w:val="32"/>
        </w:rPr>
        <w:t xml:space="preserve">BID</w:t>
      </w:r>
    </w:p>
    <w:p>
      <w:pPr>
        <w:pStyle w:val="Heading1"/>
      </w:pPr>
      <w:r>
        <w:t xml:space="preserve">1. Property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E3A5F" w:val="clear"/>
          </w:tcPr>
          <w:p>
            <w:r>
              <w:rPr>
                <w:b/>
                <w:bCs/>
                <w:color w:val="FFFFFF"/>
              </w:rPr>
              <w:t xml:space="preserve">Property Address</w:t>
            </w:r>
          </w:p>
        </w:tc>
        <w:tc>
          <w:tcPr>
            <w:tcW w:type="dxa" w:w="5500"/>
            <w:tcBorders>
              <w:top w:val="single" w:color="CCCCCC" w:sz="1"/>
              <w:left w:val="single" w:color="CCCCCC" w:sz="1"/>
              <w:bottom w:val="single" w:color="CCCCCC" w:sz="1"/>
              <w:right w:val="single" w:color="CCCCCC" w:sz="1"/>
            </w:tcBorders>
          </w:tcPr>
          <w:p>
            <w:r>
              <w:rPr>
                <w:b/>
                <w:bCs/>
              </w:rPr>
              <w:t xml:space="preserve">202 Ivory Coral Ln #302, Merritt Island, FL 32953</w:t>
            </w:r>
          </w:p>
        </w:tc>
      </w:tr>
      <w:tr>
        <w:tc>
          <w:tcPr>
            <w:tcW w:type="dxa" w:w="3500"/>
            <w:tcBorders>
              <w:top w:val="single" w:color="CCCCCC" w:sz="1"/>
              <w:left w:val="single" w:color="CCCCCC" w:sz="1"/>
              <w:bottom w:val="single" w:color="CCCCCC" w:sz="1"/>
              <w:right w:val="single" w:color="CCCCCC" w:sz="1"/>
            </w:tcBorders>
            <w:shd w:fill="F8FAFC" w:val="clear"/>
          </w:tcPr>
          <w:p>
            <w:r>
              <w:t xml:space="preserve">Parcel ID</w:t>
            </w:r>
          </w:p>
        </w:tc>
        <w:tc>
          <w:tcPr>
            <w:tcW w:type="dxa" w:w="5500"/>
            <w:tcBorders>
              <w:top w:val="single" w:color="CCCCCC" w:sz="1"/>
              <w:left w:val="single" w:color="CCCCCC" w:sz="1"/>
              <w:bottom w:val="single" w:color="CCCCCC" w:sz="1"/>
              <w:right w:val="single" w:color="CCCCCC" w:sz="1"/>
            </w:tcBorders>
            <w:shd w:fill="F8FAFC" w:val="clear"/>
          </w:tcPr>
          <w:p>
            <w:r>
              <w:t xml:space="preserve">3021477</w:t>
            </w:r>
          </w:p>
        </w:tc>
      </w:tr>
      <w:tr>
        <w:tc>
          <w:tcPr>
            <w:tcW w:type="dxa" w:w="3500"/>
            <w:tcBorders>
              <w:top w:val="single" w:color="CCCCCC" w:sz="1"/>
              <w:left w:val="single" w:color="CCCCCC" w:sz="1"/>
              <w:bottom w:val="single" w:color="CCCCCC" w:sz="1"/>
              <w:right w:val="single" w:color="CCCCCC" w:sz="1"/>
            </w:tcBorders>
          </w:tcPr>
          <w:p>
            <w:r>
              <w:t xml:space="preserve">Property Type</w:t>
            </w:r>
          </w:p>
        </w:tc>
        <w:tc>
          <w:tcPr>
            <w:tcW w:type="dxa" w:w="5500"/>
            <w:tcBorders>
              <w:top w:val="single" w:color="CCCCCC" w:sz="1"/>
              <w:left w:val="single" w:color="CCCCCC" w:sz="1"/>
              <w:bottom w:val="single" w:color="CCCCCC" w:sz="1"/>
              <w:right w:val="single" w:color="CCCCCC" w:sz="1"/>
            </w:tcBorders>
          </w:tcPr>
          <w:p>
            <w:r>
              <w:t xml:space="preserve">Condominium</w:t>
            </w:r>
          </w:p>
        </w:tc>
      </w:tr>
      <w:tr>
        <w:tc>
          <w:tcPr>
            <w:tcW w:type="dxa" w:w="3500"/>
            <w:tcBorders>
              <w:top w:val="single" w:color="CCCCCC" w:sz="1"/>
              <w:left w:val="single" w:color="CCCCCC" w:sz="1"/>
              <w:bottom w:val="single" w:color="CCCCCC" w:sz="1"/>
              <w:right w:val="single" w:color="CCCCCC" w:sz="1"/>
            </w:tcBorders>
            <w:shd w:fill="F8FAFC" w:val="clear"/>
          </w:tcPr>
          <w:p>
            <w:r>
              <w:t xml:space="preserve">Year Built</w:t>
            </w:r>
          </w:p>
        </w:tc>
        <w:tc>
          <w:tcPr>
            <w:tcW w:type="dxa" w:w="5500"/>
            <w:tcBorders>
              <w:top w:val="single" w:color="CCCCCC" w:sz="1"/>
              <w:left w:val="single" w:color="CCCCCC" w:sz="1"/>
              <w:bottom w:val="single" w:color="CCCCCC" w:sz="1"/>
              <w:right w:val="single" w:color="CCCCCC" w:sz="1"/>
            </w:tcBorders>
            <w:shd w:fill="F8FAFC" w:val="clear"/>
          </w:tcPr>
          <w:p>
            <w:r>
              <w:t xml:space="preserve">2006</w:t>
            </w:r>
          </w:p>
        </w:tc>
      </w:tr>
      <w:tr>
        <w:tc>
          <w:tcPr>
            <w:tcW w:type="dxa" w:w="3500"/>
            <w:tcBorders>
              <w:top w:val="single" w:color="CCCCCC" w:sz="1"/>
              <w:left w:val="single" w:color="CCCCCC" w:sz="1"/>
              <w:bottom w:val="single" w:color="CCCCCC" w:sz="1"/>
              <w:right w:val="single" w:color="CCCCCC" w:sz="1"/>
            </w:tcBorders>
          </w:tcPr>
          <w:p>
            <w:r>
              <w:t xml:space="preserve">Living Area</w:t>
            </w:r>
          </w:p>
        </w:tc>
        <w:tc>
          <w:tcPr>
            <w:tcW w:type="dxa" w:w="5500"/>
            <w:tcBorders>
              <w:top w:val="single" w:color="CCCCCC" w:sz="1"/>
              <w:left w:val="single" w:color="CCCCCC" w:sz="1"/>
              <w:bottom w:val="single" w:color="CCCCCC" w:sz="1"/>
              <w:right w:val="single" w:color="CCCCCC" w:sz="1"/>
            </w:tcBorders>
          </w:tcPr>
          <w:p>
            <w:r>
              <w:t xml:space="preserve">1,248 sq ft</w:t>
            </w:r>
          </w:p>
        </w:tc>
      </w:tr>
      <w:tr>
        <w:tc>
          <w:tcPr>
            <w:tcW w:type="dxa" w:w="3500"/>
            <w:tcBorders>
              <w:top w:val="single" w:color="CCCCCC" w:sz="1"/>
              <w:left w:val="single" w:color="CCCCCC" w:sz="1"/>
              <w:bottom w:val="single" w:color="CCCCCC" w:sz="1"/>
              <w:right w:val="single" w:color="CCCCCC" w:sz="1"/>
            </w:tcBorders>
            <w:shd w:fill="F8FAFC" w:val="clear"/>
          </w:tcPr>
          <w:p>
            <w:r>
              <w:t xml:space="preserve">Bedrooms / Bathrooms</w:t>
            </w:r>
          </w:p>
        </w:tc>
        <w:tc>
          <w:tcPr>
            <w:tcW w:type="dxa" w:w="5500"/>
            <w:tcBorders>
              <w:top w:val="single" w:color="CCCCCC" w:sz="1"/>
              <w:left w:val="single" w:color="CCCCCC" w:sz="1"/>
              <w:bottom w:val="single" w:color="CCCCCC" w:sz="1"/>
              <w:right w:val="single" w:color="CCCCCC" w:sz="1"/>
            </w:tcBorders>
            <w:shd w:fill="F8FAFC" w:val="clear"/>
          </w:tcPr>
          <w:p>
            <w:r>
              <w:t xml:space="preserve">2 BR / 2 BA</w:t>
            </w:r>
          </w:p>
        </w:tc>
      </w:tr>
    </w:tbl>
    <w:p>
      <w:pPr>
        <w:pStyle w:val="Heading1"/>
      </w:pPr>
      <w:r>
        <w:t xml:space="preserve">2. Auction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E3A5F" w:val="clear"/>
          </w:tcPr>
          <w:p>
            <w:r>
              <w:rPr>
                <w:b/>
                <w:bCs/>
                <w:color w:val="FFFFFF"/>
              </w:rPr>
              <w:t xml:space="preserve">Auction Date</w:t>
            </w:r>
          </w:p>
        </w:tc>
        <w:tc>
          <w:tcPr>
            <w:tcW w:type="dxa" w:w="5500"/>
            <w:tcBorders>
              <w:top w:val="single" w:color="CCCCCC" w:sz="1"/>
              <w:left w:val="single" w:color="CCCCCC" w:sz="1"/>
              <w:bottom w:val="single" w:color="CCCCCC" w:sz="1"/>
              <w:right w:val="single" w:color="CCCCCC" w:sz="1"/>
            </w:tcBorders>
          </w:tcPr>
          <w:p>
            <w:r>
              <w:rPr>
                <w:b/>
                <w:bCs/>
              </w:rPr>
              <w:t xml:space="preserve">December 18, 2025</w:t>
            </w:r>
          </w:p>
        </w:tc>
      </w:tr>
      <w:tr>
        <w:tc>
          <w:tcPr>
            <w:tcW w:type="dxa" w:w="3500"/>
            <w:tcBorders>
              <w:top w:val="single" w:color="CCCCCC" w:sz="1"/>
              <w:left w:val="single" w:color="CCCCCC" w:sz="1"/>
              <w:bottom w:val="single" w:color="CCCCCC" w:sz="1"/>
              <w:right w:val="single" w:color="CCCCCC" w:sz="1"/>
            </w:tcBorders>
            <w:shd w:fill="F8FAFC" w:val="clear"/>
          </w:tcPr>
          <w:p>
            <w:r>
              <w:t xml:space="preserve">Auction Type</w:t>
            </w:r>
          </w:p>
        </w:tc>
        <w:tc>
          <w:tcPr>
            <w:tcW w:type="dxa" w:w="5500"/>
            <w:tcBorders>
              <w:top w:val="single" w:color="CCCCCC" w:sz="1"/>
              <w:left w:val="single" w:color="CCCCCC" w:sz="1"/>
              <w:bottom w:val="single" w:color="CCCCCC" w:sz="1"/>
              <w:right w:val="single" w:color="CCCCCC" w:sz="1"/>
            </w:tcBorders>
            <w:shd w:fill="F8FAFC" w:val="clear"/>
          </w:tcPr>
          <w:p>
            <w:r>
              <w:t xml:space="preserve">Tax Deed Sale</w:t>
            </w:r>
          </w:p>
        </w:tc>
      </w:tr>
      <w:tr>
        <w:tc>
          <w:tcPr>
            <w:tcW w:type="dxa" w:w="3500"/>
            <w:tcBorders>
              <w:top w:val="single" w:color="CCCCCC" w:sz="1"/>
              <w:left w:val="single" w:color="CCCCCC" w:sz="1"/>
              <w:bottom w:val="single" w:color="CCCCCC" w:sz="1"/>
              <w:right w:val="single" w:color="CCCCCC" w:sz="1"/>
            </w:tcBorders>
          </w:tcPr>
          <w:p>
            <w:r>
              <w:t xml:space="preserve">Opening Bid</w:t>
            </w:r>
          </w:p>
        </w:tc>
        <w:tc>
          <w:tcPr>
            <w:tcW w:type="dxa" w:w="5500"/>
            <w:tcBorders>
              <w:top w:val="single" w:color="CCCCCC" w:sz="1"/>
              <w:left w:val="single" w:color="CCCCCC" w:sz="1"/>
              <w:bottom w:val="single" w:color="CCCCCC" w:sz="1"/>
              <w:right w:val="single" w:color="CCCCCC" w:sz="1"/>
            </w:tcBorders>
          </w:tcPr>
          <w:p>
            <w:r>
              <w:rPr>
                <w:b/>
                <w:bCs/>
                <w:color w:val="10B981"/>
              </w:rPr>
              <w:t xml:space="preserve">$6,847.05</w:t>
            </w:r>
          </w:p>
        </w:tc>
      </w:tr>
      <w:tr>
        <w:tc>
          <w:tcPr>
            <w:tcW w:type="dxa" w:w="3500"/>
            <w:tcBorders>
              <w:top w:val="single" w:color="CCCCCC" w:sz="1"/>
              <w:left w:val="single" w:color="CCCCCC" w:sz="1"/>
              <w:bottom w:val="single" w:color="CCCCCC" w:sz="1"/>
              <w:right w:val="single" w:color="CCCCCC" w:sz="1"/>
            </w:tcBorders>
            <w:shd w:fill="F8FAFC" w:val="clear"/>
          </w:tcPr>
          <w:p>
            <w:r>
              <w:t xml:space="preserve">Bid/Judgment Ratio</w:t>
            </w:r>
          </w:p>
        </w:tc>
        <w:tc>
          <w:tcPr>
            <w:tcW w:type="dxa" w:w="5500"/>
            <w:tcBorders>
              <w:top w:val="single" w:color="CCCCCC" w:sz="1"/>
              <w:left w:val="single" w:color="CCCCCC" w:sz="1"/>
              <w:bottom w:val="single" w:color="CCCCCC" w:sz="1"/>
              <w:right w:val="single" w:color="CCCCCC" w:sz="1"/>
            </w:tcBorders>
            <w:shd w:fill="F8FAFC" w:val="clear"/>
          </w:tcPr>
          <w:p>
            <w:r>
              <w:t xml:space="preserve">3.9% (Excellent)</w:t>
            </w:r>
          </w:p>
        </w:tc>
      </w:tr>
    </w:tbl>
    <w:p>
      <w:pPr>
        <w:pStyle w:val="Heading1"/>
      </w:pPr>
      <w:r>
        <w:t xml:space="preserve">3. Financial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E3A5F" w:val="clear"/>
          </w:tcPr>
          <w:p>
            <w:r>
              <w:rPr>
                <w:b/>
                <w:bCs/>
                <w:color w:val="FFFFFF"/>
              </w:rPr>
              <w:t xml:space="preserve">Market Value (BCPAO)</w:t>
            </w:r>
          </w:p>
        </w:tc>
        <w:tc>
          <w:tcPr>
            <w:tcW w:type="dxa" w:w="5500"/>
            <w:tcBorders>
              <w:top w:val="single" w:color="CCCCCC" w:sz="1"/>
              <w:left w:val="single" w:color="CCCCCC" w:sz="1"/>
              <w:bottom w:val="single" w:color="CCCCCC" w:sz="1"/>
              <w:right w:val="single" w:color="CCCCCC" w:sz="1"/>
            </w:tcBorders>
          </w:tcPr>
          <w:p>
            <w:r>
              <w:t xml:space="preserve">$176,000</w:t>
            </w:r>
          </w:p>
        </w:tc>
      </w:tr>
      <w:tr>
        <w:tc>
          <w:tcPr>
            <w:tcW w:type="dxa" w:w="3500"/>
            <w:tcBorders>
              <w:top w:val="single" w:color="CCCCCC" w:sz="1"/>
              <w:left w:val="single" w:color="CCCCCC" w:sz="1"/>
              <w:bottom w:val="single" w:color="CCCCCC" w:sz="1"/>
              <w:right w:val="single" w:color="CCCCCC" w:sz="1"/>
            </w:tcBorders>
            <w:shd w:fill="F8FAFC" w:val="clear"/>
          </w:tcPr>
          <w:p>
            <w:r>
              <w:t xml:space="preserve">Estimated ARV</w:t>
            </w:r>
          </w:p>
        </w:tc>
        <w:tc>
          <w:tcPr>
            <w:tcW w:type="dxa" w:w="5500"/>
            <w:tcBorders>
              <w:top w:val="single" w:color="CCCCCC" w:sz="1"/>
              <w:left w:val="single" w:color="CCCCCC" w:sz="1"/>
              <w:bottom w:val="single" w:color="CCCCCC" w:sz="1"/>
              <w:right w:val="single" w:color="CCCCCC" w:sz="1"/>
            </w:tcBorders>
            <w:shd w:fill="F8FAFC" w:val="clear"/>
          </w:tcPr>
          <w:p>
            <w:r>
              <w:t xml:space="preserve">$185,000</w:t>
            </w:r>
          </w:p>
        </w:tc>
      </w:tr>
      <w:tr>
        <w:tc>
          <w:tcPr>
            <w:tcW w:type="dxa" w:w="3500"/>
            <w:tcBorders>
              <w:top w:val="single" w:color="CCCCCC" w:sz="1"/>
              <w:left w:val="single" w:color="CCCCCC" w:sz="1"/>
              <w:bottom w:val="single" w:color="CCCCCC" w:sz="1"/>
              <w:right w:val="single" w:color="CCCCCC" w:sz="1"/>
            </w:tcBorders>
          </w:tcPr>
          <w:p>
            <w:r>
              <w:t xml:space="preserve">Estimated Repairs</w:t>
            </w:r>
          </w:p>
        </w:tc>
        <w:tc>
          <w:tcPr>
            <w:tcW w:type="dxa" w:w="5500"/>
            <w:tcBorders>
              <w:top w:val="single" w:color="CCCCCC" w:sz="1"/>
              <w:left w:val="single" w:color="CCCCCC" w:sz="1"/>
              <w:bottom w:val="single" w:color="CCCCCC" w:sz="1"/>
              <w:right w:val="single" w:color="CCCCCC" w:sz="1"/>
            </w:tcBorders>
          </w:tcPr>
          <w:p>
            <w:r>
              <w:t xml:space="preserve">$12,000</w:t>
            </w:r>
          </w:p>
        </w:tc>
      </w:tr>
      <w:tr>
        <w:tc>
          <w:tcPr>
            <w:tcW w:type="dxa" w:w="3500"/>
            <w:tcBorders>
              <w:top w:val="single" w:color="CCCCCC" w:sz="1"/>
              <w:left w:val="single" w:color="CCCCCC" w:sz="1"/>
              <w:bottom w:val="single" w:color="CCCCCC" w:sz="1"/>
              <w:right w:val="single" w:color="CCCCCC" w:sz="1"/>
            </w:tcBorders>
            <w:shd w:fill="F8FAFC" w:val="clear"/>
          </w:tcPr>
          <w:p>
            <w:r>
              <w:t xml:space="preserve">Maximum Bid (70% Rule)</w:t>
            </w:r>
          </w:p>
        </w:tc>
        <w:tc>
          <w:tcPr>
            <w:tcW w:type="dxa" w:w="5500"/>
            <w:tcBorders>
              <w:top w:val="single" w:color="CCCCCC" w:sz="1"/>
              <w:left w:val="single" w:color="CCCCCC" w:sz="1"/>
              <w:bottom w:val="single" w:color="CCCCCC" w:sz="1"/>
              <w:right w:val="single" w:color="CCCCCC" w:sz="1"/>
            </w:tcBorders>
            <w:shd w:fill="F8FAFC" w:val="clear"/>
          </w:tcPr>
          <w:p>
            <w:r>
              <w:rPr>
                <w:b/>
                <w:bCs/>
                <w:color w:val="F59E0B"/>
              </w:rPr>
              <w:t xml:space="preserve">$107,500</w:t>
            </w:r>
          </w:p>
        </w:tc>
      </w:tr>
      <w:tr>
        <w:tc>
          <w:tcPr>
            <w:tcW w:type="dxa" w:w="3500"/>
            <w:tcBorders>
              <w:top w:val="single" w:color="CCCCCC" w:sz="1"/>
              <w:left w:val="single" w:color="CCCCCC" w:sz="1"/>
              <w:bottom w:val="single" w:color="CCCCCC" w:sz="1"/>
              <w:right w:val="single" w:color="CCCCCC" w:sz="1"/>
            </w:tcBorders>
          </w:tcPr>
          <w:p>
            <w:r>
              <w:t xml:space="preserve">Potential Profit</w:t>
            </w:r>
          </w:p>
        </w:tc>
        <w:tc>
          <w:tcPr>
            <w:tcW w:type="dxa" w:w="5500"/>
            <w:tcBorders>
              <w:top w:val="single" w:color="CCCCCC" w:sz="1"/>
              <w:left w:val="single" w:color="CCCCCC" w:sz="1"/>
              <w:bottom w:val="single" w:color="CCCCCC" w:sz="1"/>
              <w:right w:val="single" w:color="CCCCCC" w:sz="1"/>
            </w:tcBorders>
          </w:tcPr>
          <w:p>
            <w:r>
              <w:rPr>
                <w:b/>
                <w:bCs/>
                <w:color w:val="10B981"/>
              </w:rPr>
              <w:t xml:space="preserve">$45,653</w:t>
            </w:r>
          </w:p>
        </w:tc>
      </w:tr>
      <w:tr>
        <w:tc>
          <w:tcPr>
            <w:tcW w:type="dxa" w:w="3500"/>
            <w:tcBorders>
              <w:top w:val="single" w:color="CCCCCC" w:sz="1"/>
              <w:left w:val="single" w:color="CCCCCC" w:sz="1"/>
              <w:bottom w:val="single" w:color="CCCCCC" w:sz="1"/>
              <w:right w:val="single" w:color="CCCCCC" w:sz="1"/>
            </w:tcBorders>
            <w:shd w:fill="F8FAFC" w:val="clear"/>
          </w:tcPr>
          <w:p>
            <w:r>
              <w:t xml:space="preserve">Projected ROI</w:t>
            </w:r>
          </w:p>
        </w:tc>
        <w:tc>
          <w:tcPr>
            <w:tcW w:type="dxa" w:w="5500"/>
            <w:tcBorders>
              <w:top w:val="single" w:color="CCCCCC" w:sz="1"/>
              <w:left w:val="single" w:color="CCCCCC" w:sz="1"/>
              <w:bottom w:val="single" w:color="CCCCCC" w:sz="1"/>
              <w:right w:val="single" w:color="CCCCCC" w:sz="1"/>
            </w:tcBorders>
            <w:shd w:fill="F8FAFC" w:val="clear"/>
          </w:tcPr>
          <w:p>
            <w:r>
              <w:rPr>
                <w:b/>
                <w:bCs/>
                <w:color w:val="10B981"/>
              </w:rPr>
              <w:t xml:space="preserve">42.5%</w:t>
            </w:r>
          </w:p>
        </w:tc>
      </w:tr>
    </w:tbl>
    <w:p>
      <w:pPr>
        <w:pStyle w:val="Heading1"/>
      </w:pPr>
      <w:r>
        <w:t xml:space="preserve">4. Lien &amp; Title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E3A5F" w:val="clear"/>
          </w:tcPr>
          <w:p>
            <w:r>
              <w:rPr>
                <w:b/>
                <w:bCs/>
                <w:color w:val="FFFFFF"/>
              </w:rPr>
              <w:t xml:space="preserve">Tax Certificate Amount</w:t>
            </w:r>
          </w:p>
        </w:tc>
        <w:tc>
          <w:tcPr>
            <w:tcW w:type="dxa" w:w="5500"/>
            <w:tcBorders>
              <w:top w:val="single" w:color="CCCCCC" w:sz="1"/>
              <w:left w:val="single" w:color="CCCCCC" w:sz="1"/>
              <w:bottom w:val="single" w:color="CCCCCC" w:sz="1"/>
              <w:right w:val="single" w:color="CCCCCC" w:sz="1"/>
            </w:tcBorders>
          </w:tcPr>
          <w:p>
            <w:r>
              <w:t xml:space="preserve">$5,234.18</w:t>
            </w:r>
          </w:p>
        </w:tc>
      </w:tr>
      <w:tr>
        <w:tc>
          <w:tcPr>
            <w:tcW w:type="dxa" w:w="3500"/>
            <w:tcBorders>
              <w:top w:val="single" w:color="CCCCCC" w:sz="1"/>
              <w:left w:val="single" w:color="CCCCCC" w:sz="1"/>
              <w:bottom w:val="single" w:color="CCCCCC" w:sz="1"/>
              <w:right w:val="single" w:color="CCCCCC" w:sz="1"/>
            </w:tcBorders>
            <w:shd w:fill="F8FAFC" w:val="clear"/>
          </w:tcPr>
          <w:p>
            <w:r>
              <w:t xml:space="preserve">HOA Status</w:t>
            </w:r>
          </w:p>
        </w:tc>
        <w:tc>
          <w:tcPr>
            <w:tcW w:type="dxa" w:w="5500"/>
            <w:tcBorders>
              <w:top w:val="single" w:color="CCCCCC" w:sz="1"/>
              <w:left w:val="single" w:color="CCCCCC" w:sz="1"/>
              <w:bottom w:val="single" w:color="CCCCCC" w:sz="1"/>
              <w:right w:val="single" w:color="CCCCCC" w:sz="1"/>
            </w:tcBorders>
            <w:shd w:fill="F8FAFC" w:val="clear"/>
          </w:tcPr>
          <w:p>
            <w:r>
              <w:rPr>
                <w:color w:val="10B981"/>
              </w:rPr>
              <w:t xml:space="preserve">Current</w:t>
            </w:r>
          </w:p>
        </w:tc>
      </w:tr>
      <w:tr>
        <w:tc>
          <w:tcPr>
            <w:tcW w:type="dxa" w:w="3500"/>
            <w:tcBorders>
              <w:top w:val="single" w:color="CCCCCC" w:sz="1"/>
              <w:left w:val="single" w:color="CCCCCC" w:sz="1"/>
              <w:bottom w:val="single" w:color="CCCCCC" w:sz="1"/>
              <w:right w:val="single" w:color="CCCCCC" w:sz="1"/>
            </w:tcBorders>
          </w:tcPr>
          <w:p>
            <w:r>
              <w:t xml:space="preserve">Mortgage/Lien Status</w:t>
            </w:r>
          </w:p>
        </w:tc>
        <w:tc>
          <w:tcPr>
            <w:tcW w:type="dxa" w:w="5500"/>
            <w:tcBorders>
              <w:top w:val="single" w:color="CCCCCC" w:sz="1"/>
              <w:left w:val="single" w:color="CCCCCC" w:sz="1"/>
              <w:bottom w:val="single" w:color="CCCCCC" w:sz="1"/>
              <w:right w:val="single" w:color="CCCCCC" w:sz="1"/>
            </w:tcBorders>
          </w:tcPr>
          <w:p>
            <w:r>
              <w:rPr>
                <w:b/>
                <w:bCs/>
                <w:color w:val="10B981"/>
              </w:rPr>
              <w:t xml:space="preserve">No Senior Liens</w:t>
            </w:r>
          </w:p>
        </w:tc>
      </w:tr>
    </w:tbl>
    <w:p>
      <w:pPr>
        <w:pStyle w:val="Heading1"/>
      </w:pPr>
      <w:r>
        <w:t xml:space="preserve">5. BidDeed.AI ML Predictions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1E3A5F" w:val="clear"/>
          </w:tcPr>
          <w:p>
            <w:r>
              <w:rPr>
                <w:b/>
                <w:bCs/>
                <w:color w:val="FFFFFF"/>
              </w:rPr>
              <w:t xml:space="preserve">AI Confidence Score</w:t>
            </w:r>
          </w:p>
        </w:tc>
        <w:tc>
          <w:tcPr>
            <w:tcW w:type="dxa" w:w="5500"/>
            <w:tcBorders>
              <w:top w:val="single" w:color="CCCCCC" w:sz="1"/>
              <w:left w:val="single" w:color="CCCCCC" w:sz="1"/>
              <w:bottom w:val="single" w:color="CCCCCC" w:sz="1"/>
              <w:right w:val="single" w:color="CCCCCC" w:sz="1"/>
            </w:tcBorders>
          </w:tcPr>
          <w:p>
            <w:r>
              <w:rPr>
                <w:b/>
                <w:bCs/>
                <w:color w:val="10B981"/>
              </w:rPr>
              <w:t xml:space="preserve">72% (High)</w:t>
            </w:r>
          </w:p>
        </w:tc>
      </w:tr>
      <w:tr>
        <w:tc>
          <w:tcPr>
            <w:tcW w:type="dxa" w:w="3500"/>
            <w:tcBorders>
              <w:top w:val="single" w:color="CCCCCC" w:sz="1"/>
              <w:left w:val="single" w:color="CCCCCC" w:sz="1"/>
              <w:bottom w:val="single" w:color="CCCCCC" w:sz="1"/>
              <w:right w:val="single" w:color="CCCCCC" w:sz="1"/>
            </w:tcBorders>
            <w:shd w:fill="F8FAFC" w:val="clear"/>
          </w:tcPr>
          <w:p>
            <w:r>
              <w:t xml:space="preserve">Third-Party Bid Probability</w:t>
            </w:r>
          </w:p>
        </w:tc>
        <w:tc>
          <w:tcPr>
            <w:tcW w:type="dxa" w:w="5500"/>
            <w:tcBorders>
              <w:top w:val="single" w:color="CCCCCC" w:sz="1"/>
              <w:left w:val="single" w:color="CCCCCC" w:sz="1"/>
              <w:bottom w:val="single" w:color="CCCCCC" w:sz="1"/>
              <w:right w:val="single" w:color="CCCCCC" w:sz="1"/>
            </w:tcBorders>
            <w:shd w:fill="F8FAFC" w:val="clear"/>
          </w:tcPr>
          <w:p>
            <w:r>
              <w:t xml:space="preserve">28% (Low Competition)</w:t>
            </w:r>
          </w:p>
        </w:tc>
      </w:tr>
      <w:tr>
        <w:tc>
          <w:tcPr>
            <w:tcW w:type="dxa" w:w="3500"/>
            <w:tcBorders>
              <w:top w:val="single" w:color="CCCCCC" w:sz="1"/>
              <w:left w:val="single" w:color="CCCCCC" w:sz="1"/>
              <w:bottom w:val="single" w:color="CCCCCC" w:sz="1"/>
              <w:right w:val="single" w:color="CCCCCC" w:sz="1"/>
            </w:tcBorders>
          </w:tcPr>
          <w:p>
            <w:r>
              <w:t xml:space="preserve">Risk Assessment</w:t>
            </w:r>
          </w:p>
        </w:tc>
        <w:tc>
          <w:tcPr>
            <w:tcW w:type="dxa" w:w="5500"/>
            <w:tcBorders>
              <w:top w:val="single" w:color="CCCCCC" w:sz="1"/>
              <w:left w:val="single" w:color="CCCCCC" w:sz="1"/>
              <w:bottom w:val="single" w:color="CCCCCC" w:sz="1"/>
              <w:right w:val="single" w:color="CCCCCC" w:sz="1"/>
            </w:tcBorders>
          </w:tcPr>
          <w:p>
            <w:r>
              <w:rPr>
                <w:b/>
                <w:bCs/>
                <w:color w:val="10B981"/>
              </w:rPr>
              <w:t xml:space="preserve">LOW</w:t>
            </w:r>
          </w:p>
        </w:tc>
      </w:tr>
      <w:tr>
        <w:tc>
          <w:tcPr>
            <w:tcW w:type="dxa" w:w="3500"/>
            <w:tcBorders>
              <w:top w:val="single" w:color="CCCCCC" w:sz="1"/>
              <w:left w:val="single" w:color="CCCCCC" w:sz="1"/>
              <w:bottom w:val="single" w:color="CCCCCC" w:sz="1"/>
              <w:right w:val="single" w:color="CCCCCC" w:sz="1"/>
            </w:tcBorders>
            <w:shd w:fill="F8FAFC" w:val="clear"/>
          </w:tcPr>
          <w:p>
            <w:r>
              <w:t xml:space="preserve">Est. Days on Market</w:t>
            </w:r>
          </w:p>
        </w:tc>
        <w:tc>
          <w:tcPr>
            <w:tcW w:type="dxa" w:w="5500"/>
            <w:tcBorders>
              <w:top w:val="single" w:color="CCCCCC" w:sz="1"/>
              <w:left w:val="single" w:color="CCCCCC" w:sz="1"/>
              <w:bottom w:val="single" w:color="CCCCCC" w:sz="1"/>
              <w:right w:val="single" w:color="CCCCCC" w:sz="1"/>
            </w:tcBorders>
            <w:shd w:fill="F8FAFC" w:val="clear"/>
          </w:tcPr>
          <w:p>
            <w:r>
              <w:t xml:space="preserve">45 days</w:t>
            </w:r>
          </w:p>
        </w:tc>
      </w:tr>
    </w:tbl>
    <w:p>
      <w:pPr>
        <w:pStyle w:val="Heading1"/>
      </w:pPr>
      <w:r>
        <w:t xml:space="preserve">6. Comparable Sales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CCCCCC" w:sz="1"/>
              <w:left w:val="single" w:color="CCCCCC" w:sz="1"/>
              <w:bottom w:val="single" w:color="CCCCCC" w:sz="1"/>
              <w:right w:val="single" w:color="CCCCCC" w:sz="1"/>
            </w:tcBorders>
            <w:shd w:fill="1E3A5F" w:val="clear"/>
          </w:tcPr>
          <w:p>
            <w:r>
              <w:rPr>
                <w:b/>
                <w:bCs/>
                <w:color w:val="FFFFFF"/>
              </w:rPr>
              <w:t xml:space="preserve">Address</w:t>
            </w:r>
          </w:p>
        </w:tc>
        <w:tc>
          <w:tcPr>
            <w:tcW w:type="dxa" w:w="2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Sale Price</w:t>
            </w:r>
          </w:p>
        </w:tc>
        <w:tc>
          <w:tcPr>
            <w:tcW w:type="dxa" w:w="2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Sale Date</w:t>
            </w:r>
          </w:p>
        </w:tc>
      </w:tr>
      <w:tr>
        <w:tc>
          <w:tcPr>
            <w:tcW w:type="dxa" w:w="4000"/>
            <w:tcBorders>
              <w:top w:val="single" w:color="CCCCCC" w:sz="1"/>
              <w:left w:val="single" w:color="CCCCCC" w:sz="1"/>
              <w:bottom w:val="single" w:color="CCCCCC" w:sz="1"/>
              <w:right w:val="single" w:color="CCCCCC" w:sz="1"/>
            </w:tcBorders>
            <w:shd w:fill="F8FAFC" w:val="clear"/>
          </w:tcPr>
          <w:p>
            <w:r>
              <w:t xml:space="preserve">202 Ivory Coral Ln #204</w:t>
            </w:r>
          </w:p>
        </w:tc>
        <w:tc>
          <w:tcPr>
            <w:tcW w:type="dxa" w:w="2500"/>
            <w:tcBorders>
              <w:top w:val="single" w:color="CCCCCC" w:sz="1"/>
              <w:left w:val="single" w:color="CCCCCC" w:sz="1"/>
              <w:bottom w:val="single" w:color="CCCCCC" w:sz="1"/>
              <w:right w:val="single" w:color="CCCCCC" w:sz="1"/>
            </w:tcBorders>
            <w:shd w:fill="F8FAFC" w:val="clear"/>
          </w:tcPr>
          <w:p>
            <w:pPr>
              <w:jc w:val="center"/>
            </w:pPr>
            <w:r>
              <w:t xml:space="preserve">$168,000</w:t>
            </w:r>
          </w:p>
        </w:tc>
        <w:tc>
          <w:tcPr>
            <w:tcW w:type="dxa" w:w="2500"/>
            <w:tcBorders>
              <w:top w:val="single" w:color="CCCCCC" w:sz="1"/>
              <w:left w:val="single" w:color="CCCCCC" w:sz="1"/>
              <w:bottom w:val="single" w:color="CCCCCC" w:sz="1"/>
              <w:right w:val="single" w:color="CCCCCC" w:sz="1"/>
            </w:tcBorders>
            <w:shd w:fill="F8FAFC" w:val="clear"/>
          </w:tcPr>
          <w:p>
            <w:pPr>
              <w:jc w:val="center"/>
            </w:pPr>
            <w:r>
              <w:t xml:space="preserve">2025-09-15</w:t>
            </w:r>
          </w:p>
        </w:tc>
      </w:tr>
      <w:tr>
        <w:tc>
          <w:tcPr>
            <w:tcW w:type="dxa" w:w="4000"/>
            <w:tcBorders>
              <w:top w:val="single" w:color="CCCCCC" w:sz="1"/>
              <w:left w:val="single" w:color="CCCCCC" w:sz="1"/>
              <w:bottom w:val="single" w:color="CCCCCC" w:sz="1"/>
              <w:right w:val="single" w:color="CCCCCC" w:sz="1"/>
            </w:tcBorders>
          </w:tcPr>
          <w:p>
            <w:r>
              <w:t xml:space="preserve">206 Ivory Coral Ln #301</w:t>
            </w:r>
          </w:p>
        </w:tc>
        <w:tc>
          <w:tcPr>
            <w:tcW w:type="dxa" w:w="2500"/>
            <w:tcBorders>
              <w:top w:val="single" w:color="CCCCCC" w:sz="1"/>
              <w:left w:val="single" w:color="CCCCCC" w:sz="1"/>
              <w:bottom w:val="single" w:color="CCCCCC" w:sz="1"/>
              <w:right w:val="single" w:color="CCCCCC" w:sz="1"/>
            </w:tcBorders>
          </w:tcPr>
          <w:p>
            <w:pPr>
              <w:jc w:val="center"/>
            </w:pPr>
            <w:r>
              <w:t xml:space="preserve">$172,500</w:t>
            </w:r>
          </w:p>
        </w:tc>
        <w:tc>
          <w:tcPr>
            <w:tcW w:type="dxa" w:w="2500"/>
            <w:tcBorders>
              <w:top w:val="single" w:color="CCCCCC" w:sz="1"/>
              <w:left w:val="single" w:color="CCCCCC" w:sz="1"/>
              <w:bottom w:val="single" w:color="CCCCCC" w:sz="1"/>
              <w:right w:val="single" w:color="CCCCCC" w:sz="1"/>
            </w:tcBorders>
          </w:tcPr>
          <w:p>
            <w:pPr>
              <w:jc w:val="center"/>
            </w:pPr>
            <w:r>
              <w:t xml:space="preserve">2025-08-22</w:t>
            </w:r>
          </w:p>
        </w:tc>
      </w:tr>
      <w:tr>
        <w:tc>
          <w:tcPr>
            <w:tcW w:type="dxa" w:w="4000"/>
            <w:tcBorders>
              <w:top w:val="single" w:color="CCCCCC" w:sz="1"/>
              <w:left w:val="single" w:color="CCCCCC" w:sz="1"/>
              <w:bottom w:val="single" w:color="CCCCCC" w:sz="1"/>
              <w:right w:val="single" w:color="CCCCCC" w:sz="1"/>
            </w:tcBorders>
            <w:shd w:fill="F8FAFC" w:val="clear"/>
          </w:tcPr>
          <w:p>
            <w:r>
              <w:t xml:space="preserve">198 Ivory Coral Ln #105</w:t>
            </w:r>
          </w:p>
        </w:tc>
        <w:tc>
          <w:tcPr>
            <w:tcW w:type="dxa" w:w="2500"/>
            <w:tcBorders>
              <w:top w:val="single" w:color="CCCCCC" w:sz="1"/>
              <w:left w:val="single" w:color="CCCCCC" w:sz="1"/>
              <w:bottom w:val="single" w:color="CCCCCC" w:sz="1"/>
              <w:right w:val="single" w:color="CCCCCC" w:sz="1"/>
            </w:tcBorders>
            <w:shd w:fill="F8FAFC" w:val="clear"/>
          </w:tcPr>
          <w:p>
            <w:pPr>
              <w:jc w:val="center"/>
            </w:pPr>
            <w:r>
              <w:t xml:space="preserve">$165,000</w:t>
            </w:r>
          </w:p>
        </w:tc>
        <w:tc>
          <w:tcPr>
            <w:tcW w:type="dxa" w:w="2500"/>
            <w:tcBorders>
              <w:top w:val="single" w:color="CCCCCC" w:sz="1"/>
              <w:left w:val="single" w:color="CCCCCC" w:sz="1"/>
              <w:bottom w:val="single" w:color="CCCCCC" w:sz="1"/>
              <w:right w:val="single" w:color="CCCCCC" w:sz="1"/>
            </w:tcBorders>
            <w:shd w:fill="F8FAFC" w:val="clear"/>
          </w:tcPr>
          <w:p>
            <w:pPr>
              <w:jc w:val="center"/>
            </w:pPr>
            <w:r>
              <w:t xml:space="preserve">2025-10-08</w:t>
            </w:r>
          </w:p>
        </w:tc>
      </w:tr>
    </w:tbl>
    <w:p>
      <w:pPr>
        <w:pStyle w:val="Heading1"/>
      </w:pPr>
      <w:r>
        <w:t xml:space="preserve">7. Neighborhood Demographics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E3A5F" w:val="clear"/>
          </w:tcPr>
          <w:p>
            <w:r>
              <w:rPr>
                <w:b/>
                <w:bCs/>
                <w:color w:val="FFFFFF"/>
              </w:rPr>
              <w:t xml:space="preserve">Metric</w:t>
            </w:r>
          </w:p>
        </w:tc>
        <w:tc>
          <w:tcPr>
            <w:tcW w:type="dxa" w:w="4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Value</w:t>
            </w:r>
          </w:p>
        </w:tc>
      </w:tr>
      <w:tr>
        <w:tc>
          <w:tcPr>
            <w:tcW w:type="dxa" w:w="4500"/>
            <w:tcBorders>
              <w:top w:val="single" w:color="CCCCCC" w:sz="1"/>
              <w:left w:val="single" w:color="CCCCCC" w:sz="1"/>
              <w:bottom w:val="single" w:color="CCCCCC" w:sz="1"/>
              <w:right w:val="single" w:color="CCCCCC" w:sz="1"/>
            </w:tcBorders>
            <w:shd w:fill="F8FAFC" w:val="clear"/>
          </w:tcPr>
          <w:p>
            <w:r>
              <w:t xml:space="preserve">Median Household Income</w:t>
            </w:r>
          </w:p>
        </w:tc>
        <w:tc>
          <w:tcPr>
            <w:tcW w:type="dxa" w:w="4500"/>
            <w:tcBorders>
              <w:top w:val="single" w:color="CCCCCC" w:sz="1"/>
              <w:left w:val="single" w:color="CCCCCC" w:sz="1"/>
              <w:bottom w:val="single" w:color="CCCCCC" w:sz="1"/>
              <w:right w:val="single" w:color="CCCCCC" w:sz="1"/>
            </w:tcBorders>
            <w:shd w:fill="F8FAFC" w:val="clear"/>
          </w:tcPr>
          <w:p>
            <w:pPr>
              <w:jc w:val="center"/>
            </w:pPr>
            <w:r>
              <w:t xml:space="preserve">$78,500</w:t>
            </w:r>
          </w:p>
        </w:tc>
      </w:tr>
      <w:tr>
        <w:tc>
          <w:tcPr>
            <w:tcW w:type="dxa" w:w="4500"/>
            <w:tcBorders>
              <w:top w:val="single" w:color="CCCCCC" w:sz="1"/>
              <w:left w:val="single" w:color="CCCCCC" w:sz="1"/>
              <w:bottom w:val="single" w:color="CCCCCC" w:sz="1"/>
              <w:right w:val="single" w:color="CCCCCC" w:sz="1"/>
            </w:tcBorders>
          </w:tcPr>
          <w:p>
            <w:r>
              <w:t xml:space="preserve">Median Home Value</w:t>
            </w:r>
          </w:p>
        </w:tc>
        <w:tc>
          <w:tcPr>
            <w:tcW w:type="dxa" w:w="4500"/>
            <w:tcBorders>
              <w:top w:val="single" w:color="CCCCCC" w:sz="1"/>
              <w:left w:val="single" w:color="CCCCCC" w:sz="1"/>
              <w:bottom w:val="single" w:color="CCCCCC" w:sz="1"/>
              <w:right w:val="single" w:color="CCCCCC" w:sz="1"/>
            </w:tcBorders>
          </w:tcPr>
          <w:p>
            <w:pPr>
              <w:jc w:val="center"/>
            </w:pPr>
            <w:r>
              <w:t xml:space="preserve">$295,000</w:t>
            </w:r>
          </w:p>
        </w:tc>
      </w:tr>
      <w:tr>
        <w:tc>
          <w:tcPr>
            <w:tcW w:type="dxa" w:w="4500"/>
            <w:tcBorders>
              <w:top w:val="single" w:color="CCCCCC" w:sz="1"/>
              <w:left w:val="single" w:color="CCCCCC" w:sz="1"/>
              <w:bottom w:val="single" w:color="CCCCCC" w:sz="1"/>
              <w:right w:val="single" w:color="CCCCCC" w:sz="1"/>
            </w:tcBorders>
            <w:shd w:fill="F8FAFC" w:val="clear"/>
          </w:tcPr>
          <w:p>
            <w:r>
              <w:t xml:space="preserve">Population Growth (YoY)</w:t>
            </w:r>
          </w:p>
        </w:tc>
        <w:tc>
          <w:tcPr>
            <w:tcW w:type="dxa" w:w="4500"/>
            <w:tcBorders>
              <w:top w:val="single" w:color="CCCCCC" w:sz="1"/>
              <w:left w:val="single" w:color="CCCCCC" w:sz="1"/>
              <w:bottom w:val="single" w:color="CCCCCC" w:sz="1"/>
              <w:right w:val="single" w:color="CCCCCC" w:sz="1"/>
            </w:tcBorders>
            <w:shd w:fill="F8FAFC" w:val="clear"/>
          </w:tcPr>
          <w:p>
            <w:pPr>
              <w:jc w:val="center"/>
            </w:pPr>
            <w:r>
              <w:rPr>
                <w:color w:val="10B981"/>
              </w:rPr>
              <w:t xml:space="preserve">+2.3%</w:t>
            </w:r>
          </w:p>
        </w:tc>
      </w:tr>
      <w:tr>
        <w:tc>
          <w:tcPr>
            <w:tcW w:type="dxa" w:w="4500"/>
            <w:tcBorders>
              <w:top w:val="single" w:color="CCCCCC" w:sz="1"/>
              <w:left w:val="single" w:color="CCCCCC" w:sz="1"/>
              <w:bottom w:val="single" w:color="CCCCCC" w:sz="1"/>
              <w:right w:val="single" w:color="CCCCCC" w:sz="1"/>
            </w:tcBorders>
          </w:tcPr>
          <w:p>
            <w:r>
              <w:t xml:space="preserve">Employment Rate</w:t>
            </w:r>
          </w:p>
        </w:tc>
        <w:tc>
          <w:tcPr>
            <w:tcW w:type="dxa" w:w="4500"/>
            <w:tcBorders>
              <w:top w:val="single" w:color="CCCCCC" w:sz="1"/>
              <w:left w:val="single" w:color="CCCCCC" w:sz="1"/>
              <w:bottom w:val="single" w:color="CCCCCC" w:sz="1"/>
              <w:right w:val="single" w:color="CCCCCC" w:sz="1"/>
            </w:tcBorders>
          </w:tcPr>
          <w:p>
            <w:pPr>
              <w:jc w:val="center"/>
            </w:pPr>
            <w:r>
              <w:t xml:space="preserve">96.2%</w:t>
            </w:r>
          </w:p>
        </w:tc>
      </w:tr>
    </w:tbl>
    <w:p>
      <w:pPr>
        <w:pStyle w:val="Heading1"/>
      </w:pPr>
      <w:r>
        <w:t xml:space="preserve">8. Investment Summary</w:t>
      </w:r>
    </w:p>
    <w:p>
      <w:pPr>
        <w:spacing w:before="200" w:after="200"/>
      </w:pPr>
      <w:r>
        <w:rPr>
          <w:b/>
          <w:bCs/>
          <w:sz w:val="24"/>
          <w:szCs w:val="24"/>
        </w:rPr>
        <w:t xml:space="preserve">Key Investment Highlights:</w:t>
      </w:r>
    </w:p>
    <w:p>
      <w:pPr>
        <w:pStyle w:val="ListParagraph"/>
        <w:numPr>
          <w:ilvl w:val="0"/>
          <w:numId w:val="2"/>
        </w:numPr>
      </w:pPr>
      <w:r>
        <w:t xml:space="preserve">Excellent bid-to-value ratio of 3.9% offers significant upside potential</w:t>
      </w:r>
    </w:p>
    <w:p>
      <w:pPr>
        <w:pStyle w:val="ListParagraph"/>
        <w:numPr>
          <w:ilvl w:val="0"/>
          <w:numId w:val="2"/>
        </w:numPr>
      </w:pPr>
      <w:r>
        <w:t xml:space="preserve">No senior liens or mortgages - clear title upon acquisition</w:t>
      </w:r>
    </w:p>
    <w:p>
      <w:pPr>
        <w:pStyle w:val="ListParagraph"/>
        <w:numPr>
          <w:ilvl w:val="0"/>
          <w:numId w:val="2"/>
        </w:numPr>
      </w:pPr>
      <w:r>
        <w:t xml:space="preserve">Prime Merritt Island location with strong demographic indicators</w:t>
      </w:r>
    </w:p>
    <w:p>
      <w:pPr>
        <w:pStyle w:val="ListParagraph"/>
        <w:numPr>
          <w:ilvl w:val="0"/>
          <w:numId w:val="2"/>
        </w:numPr>
      </w:pPr>
      <w:r>
        <w:t xml:space="preserve">Low third-party competition probability (28%) based on ML analysis</w:t>
      </w:r>
    </w:p>
    <w:p>
      <w:pPr>
        <w:pStyle w:val="ListParagraph"/>
        <w:numPr>
          <w:ilvl w:val="0"/>
          <w:numId w:val="2"/>
        </w:numPr>
      </w:pPr>
      <w:r>
        <w:t xml:space="preserve">Comparable sales support $168K-$172K exit price range</w:t>
      </w:r>
    </w:p>
    <w:p>
      <w:pPr>
        <w:pStyle w:val="ListParagraph"/>
        <w:numPr>
          <w:ilvl w:val="0"/>
          <w:numId w:val="2"/>
        </w:numPr>
      </w:pPr>
      <w:r>
        <w:t xml:space="preserve">Projected ROI of 42.5% with $45,653 potential profit</w:t>
      </w:r>
    </w:p>
    <w:p>
      <w:pPr>
        <w:shd w:fill="ECFDF5" w:val="clear"/>
        <w:spacing w:before="400" w:after="200"/>
        <w:jc w:val="center"/>
      </w:pPr>
      <w:r>
        <w:rPr>
          <w:b/>
          <w:bCs/>
          <w:color w:val="1E3A5F"/>
          <w:sz w:val="28"/>
          <w:szCs w:val="28"/>
        </w:rPr>
        <w:t xml:space="preserve">
FINAL RECOMMENDATION: </w:t>
      </w:r>
      <w:r>
        <w:rPr>
          <w:b/>
          <w:bCs/>
          <w:color w:val="10B981"/>
          <w:sz w:val="32"/>
          <w:szCs w:val="32"/>
        </w:rPr>
        <w:t xml:space="preserve">BID</w:t>
      </w:r>
      <w:r>
        <w:rPr>
          <w:color w:val="64748B"/>
          <w:sz w:val="24"/>
          <w:szCs w:val="24"/>
        </w:rPr>
        <w:t xml:space="preserve">
Maximum Bid: $107,500 | Risk Level: LOW
</w:t>
      </w:r>
    </w:p>
    <w:p>
      <w:pPr>
        <w:spacing w:before="400"/>
      </w:pPr>
      <w:r>
        <w:rPr>
          <w:b/>
          <w:bCs/>
          <w:color w:val="64748B"/>
          <w:sz w:val="18"/>
          <w:szCs w:val="18"/>
        </w:rPr>
        <w:t xml:space="preserve">DISCLAIMER: </w:t>
      </w:r>
      <w:r>
        <w:rPr>
          <w:color w:val="94A3B8"/>
          <w:sz w:val="18"/>
          <w:szCs w:val="18"/>
        </w:rPr>
        <w:t xml:space="preserve">This report is generated by BidDeed.AI for informational purposes only. All investment decisions should be made with proper due diligence. Past performance is not indicative of future results. Everest Capital USA and BidDeed.AI are not liable for investment losses.</w:t>
      </w:r>
    </w:p>
    <w:p>
      <w:pPr>
        <w:spacing w:before="300"/>
        <w:jc w:val="center"/>
      </w:pPr>
      <w:r>
        <w:rPr>
          <w:color w:val="94A3B8"/>
          <w:sz w:val="18"/>
          <w:szCs w:val="18"/>
        </w:rPr>
        <w:t xml:space="preserve">Report Generated: </w:t>
      </w:r>
      <w:r>
        <w:rPr>
          <w:color w:val="64748B"/>
          <w:sz w:val="18"/>
          <w:szCs w:val="18"/>
        </w:rPr>
        <w:t xml:space="preserve">12/18/2025, 2:51:30 AM</w:t>
      </w:r>
      <w:r>
        <w:rPr>
          <w:color w:val="94A3B8"/>
          <w:sz w:val="18"/>
          <w:szCs w:val="18"/>
        </w:rPr>
        <w:t xml:space="preserve"> | Pipeline Version: </w:t>
      </w:r>
      <w:r>
        <w:rPr>
          <w:color w:val="64748B"/>
          <w:sz w:val="18"/>
          <w:szCs w:val="18"/>
        </w:rPr>
        <w:t xml:space="preserve">Everest Ascent™ V18</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 2025 Everest Capital USA | </w:t>
    </w: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r>
      <w:rPr>
        <w:color w:val="94A3B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F59E0B"/>
        <w:sz w:val="20"/>
        <w:szCs w:val="20"/>
      </w:rPr>
      <w:t xml:space="preserve">BidDeed.AI</w:t>
    </w:r>
    <w:r>
      <w:rPr>
        <w:color w:val="64748B"/>
        <w:sz w:val="20"/>
        <w:szCs w:val="20"/>
      </w:rPr>
      <w:t xml:space="preserve"> | Property Investment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1E3A5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2025-12-18T02:51:30.952Z</dcterms:created>
  <dcterms:modified xsi:type="dcterms:W3CDTF">2025-12-18T02:51:30.952Z</dcterms:modified>
</cp:coreProperties>
</file>

<file path=docProps/custom.xml><?xml version="1.0" encoding="utf-8"?>
<Properties xmlns="http://schemas.openxmlformats.org/officeDocument/2006/custom-properties" xmlns:vt="http://schemas.openxmlformats.org/officeDocument/2006/docPropsVTypes"/>
</file>