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eastAsia="Times New Roman"/>
          <w:b/>
          <w:i w:val="0"/>
          <w:sz w:val="28"/>
        </w:rPr>
        <w:t>LETTER OF INTENT</w:t>
      </w:r>
    </w:p>
    <w:p>
      <w:pPr>
        <w:spacing w:after="360"/>
        <w:jc w:val="center"/>
      </w:pPr>
      <w:r>
        <w:rPr>
          <w:rFonts w:ascii="Times New Roman" w:hAnsi="Times New Roman" w:eastAsia="Times New Roman"/>
          <w:b/>
          <w:i w:val="0"/>
          <w:sz w:val="28"/>
        </w:rPr>
        <w:t>Commercial Real Estate Purchase</w:t>
      </w:r>
    </w:p>
    <w:p>
      <w:pPr>
        <w:spacing w:after="240" w:before="0"/>
      </w:pPr>
      <w:r>
        <w:rPr>
          <w:rFonts w:ascii="Times New Roman" w:hAnsi="Times New Roman" w:eastAsia="Times New Roman"/>
          <w:b w:val="0"/>
          <w:i w:val="0"/>
          <w:sz w:val="22"/>
        </w:rPr>
        <w:t>Date: [DATE]</w:t>
      </w:r>
    </w:p>
    <w:p>
      <w:pPr>
        <w:spacing w:after="40" w:before="0"/>
      </w:pPr>
      <w:r>
        <w:rPr>
          <w:rFonts w:ascii="Times New Roman" w:hAnsi="Times New Roman" w:eastAsia="Times New Roman"/>
          <w:b/>
          <w:i w:val="0"/>
          <w:sz w:val="22"/>
        </w:rPr>
        <w:t xml:space="preserve">To:       </w:t>
      </w:r>
      <w:r>
        <w:rPr>
          <w:rFonts w:ascii="Times New Roman" w:hAnsi="Times New Roman" w:eastAsia="Times New Roman"/>
          <w:b w:val="0"/>
          <w:i w:val="0"/>
          <w:sz w:val="22"/>
        </w:rPr>
        <w:t>Sunshine Palms Holdings LLC ("Seller")</w:t>
      </w:r>
    </w:p>
    <w:p>
      <w:pPr>
        <w:spacing w:after="240" w:before="0"/>
      </w:pPr>
      <w:r>
        <w:rPr>
          <w:rFonts w:ascii="Times New Roman" w:hAnsi="Times New Roman" w:eastAsia="Times New Roman"/>
          <w:b w:val="0"/>
          <w:i w:val="0"/>
          <w:sz w:val="22"/>
        </w:rPr>
        <w:t xml:space="preserve">          Attn: Mariam Shapira, Managing Member</w:t>
      </w:r>
    </w:p>
    <w:p>
      <w:pPr>
        <w:spacing w:after="240" w:before="0"/>
      </w:pPr>
      <w:r>
        <w:rPr>
          <w:rFonts w:ascii="Times New Roman" w:hAnsi="Times New Roman" w:eastAsia="Times New Roman"/>
          <w:b/>
          <w:i w:val="0"/>
          <w:sz w:val="22"/>
        </w:rPr>
        <w:t xml:space="preserve">From:   </w:t>
      </w:r>
      <w:r>
        <w:rPr>
          <w:rFonts w:ascii="Times New Roman" w:hAnsi="Times New Roman" w:eastAsia="Times New Roman"/>
          <w:b w:val="0"/>
          <w:i w:val="0"/>
          <w:sz w:val="22"/>
        </w:rPr>
        <w:t>[BUYER NAME] ("Buyer")</w:t>
      </w:r>
    </w:p>
    <w:p>
      <w:pPr>
        <w:spacing w:after="280" w:before="0"/>
      </w:pPr>
      <w:r>
        <w:rPr>
          <w:rFonts w:ascii="Times New Roman" w:hAnsi="Times New Roman" w:eastAsia="Times New Roman"/>
          <w:b/>
          <w:i w:val="0"/>
          <w:sz w:val="22"/>
        </w:rPr>
        <w:t xml:space="preserve">Re:       </w:t>
      </w:r>
      <w:r>
        <w:rPr>
          <w:rFonts w:ascii="Times New Roman" w:hAnsi="Times New Roman" w:eastAsia="Times New Roman"/>
          <w:b w:val="0"/>
          <w:i w:val="0"/>
          <w:sz w:val="22"/>
        </w:rPr>
        <w:t>Letter of Intent to Purchase — 2750 Malabar Road SE, Palm Bay, FL 32907</w:t>
      </w:r>
    </w:p>
    <w:p>
      <w:pPr>
        <w:spacing w:after="200" w:before="0"/>
      </w:pPr>
      <w:r>
        <w:rPr>
          <w:rFonts w:ascii="Times New Roman" w:hAnsi="Times New Roman" w:eastAsia="Times New Roman"/>
          <w:b w:val="0"/>
          <w:i w:val="0"/>
          <w:sz w:val="22"/>
        </w:rPr>
        <w:t>This Letter of Intent sets forth the basic terms upon which Buyer proposes to purchase the property described herein. Except for the provisions regarding Confidentiality and Exclusivity, this LOI is non-binding.</w:t>
      </w:r>
    </w:p>
    <w:p>
      <w:pPr>
        <w:spacing w:before="280" w:after="80"/>
      </w:pPr>
      <w:r>
        <w:rPr>
          <w:rFonts w:ascii="Times New Roman" w:hAnsi="Times New Roman" w:eastAsia="Times New Roman"/>
          <w:b/>
          <w:i w:val="0"/>
          <w:sz w:val="22"/>
        </w:rPr>
        <w:t>Section 1 — Property</w:t>
      </w:r>
    </w:p>
    <w:p>
      <w:pPr>
        <w:spacing w:after="80" w:before="40"/>
      </w:pPr>
      <w:r>
        <w:rPr>
          <w:rFonts w:ascii="Times New Roman" w:hAnsi="Times New Roman" w:eastAsia="Times New Roman"/>
          <w:b w:val="0"/>
          <w:i w:val="0"/>
          <w:sz w:val="22"/>
        </w:rPr>
        <w:t>Address: 2750 Malabar Road SE, Palm Bay, FL 32907</w:t>
      </w:r>
    </w:p>
    <w:p>
      <w:pPr>
        <w:spacing w:after="80" w:before="40"/>
      </w:pPr>
      <w:r>
        <w:rPr>
          <w:rFonts w:ascii="Times New Roman" w:hAnsi="Times New Roman" w:eastAsia="Times New Roman"/>
          <w:b w:val="0"/>
          <w:i w:val="0"/>
          <w:sz w:val="22"/>
        </w:rPr>
        <w:t>Type: Multi-family (18 units)</w:t>
      </w:r>
    </w:p>
    <w:p>
      <w:pPr>
        <w:spacing w:after="80" w:before="40"/>
      </w:pPr>
      <w:r>
        <w:rPr>
          <w:rFonts w:ascii="Times New Roman" w:hAnsi="Times New Roman" w:eastAsia="Times New Roman"/>
          <w:b w:val="0"/>
          <w:i w:val="0"/>
          <w:sz w:val="22"/>
        </w:rPr>
        <w:t>Legal: Lot 142, Block 5, Palm Bay Unit 37, Brevard County, FL</w:t>
      </w:r>
    </w:p>
    <w:p>
      <w:pPr>
        <w:spacing w:before="280" w:after="80"/>
      </w:pPr>
      <w:r>
        <w:rPr>
          <w:rFonts w:ascii="Times New Roman" w:hAnsi="Times New Roman" w:eastAsia="Times New Roman"/>
          <w:b/>
          <w:i w:val="0"/>
          <w:sz w:val="22"/>
        </w:rPr>
        <w:t>Section 2 — Purchase Price</w:t>
      </w:r>
    </w:p>
    <w:p>
      <w:pPr>
        <w:spacing w:after="80" w:before="40"/>
      </w:pPr>
      <w:r>
        <w:rPr>
          <w:rFonts w:ascii="Times New Roman" w:hAnsi="Times New Roman" w:eastAsia="Times New Roman"/>
          <w:b w:val="0"/>
          <w:i w:val="0"/>
          <w:sz w:val="22"/>
        </w:rPr>
        <w:t>$__________ (fill-in blank)</w:t>
      </w:r>
    </w:p>
    <w:p>
      <w:pPr>
        <w:spacing w:before="280" w:after="80"/>
      </w:pPr>
      <w:r>
        <w:rPr>
          <w:rFonts w:ascii="Times New Roman" w:hAnsi="Times New Roman" w:eastAsia="Times New Roman"/>
          <w:b/>
          <w:i w:val="0"/>
          <w:sz w:val="22"/>
        </w:rPr>
        <w:t>Section 3 — Earnest Money</w:t>
      </w:r>
    </w:p>
    <w:p>
      <w:pPr>
        <w:spacing w:after="80" w:before="40"/>
      </w:pPr>
      <w:r>
        <w:rPr>
          <w:rFonts w:ascii="Times New Roman" w:hAnsi="Times New Roman" w:eastAsia="Times New Roman"/>
          <w:b w:val="0"/>
          <w:i w:val="0"/>
          <w:sz w:val="22"/>
        </w:rPr>
        <w:t>$__________ (to be deposited within 3 business days of execution). Earnest money becomes non-refundable (“hard”) after the expiration of the 15-day inspection period.</w:t>
      </w:r>
    </w:p>
    <w:p>
      <w:pPr>
        <w:spacing w:before="280" w:after="80"/>
      </w:pPr>
      <w:r>
        <w:rPr>
          <w:rFonts w:ascii="Times New Roman" w:hAnsi="Times New Roman" w:eastAsia="Times New Roman"/>
          <w:b/>
          <w:i w:val="0"/>
          <w:sz w:val="22"/>
        </w:rPr>
        <w:t>Section 4 — Inspection Period</w:t>
      </w:r>
    </w:p>
    <w:p>
      <w:pPr>
        <w:spacing w:after="80" w:before="40"/>
      </w:pPr>
      <w:r>
        <w:rPr>
          <w:rFonts w:ascii="Times New Roman" w:hAnsi="Times New Roman" w:eastAsia="Times New Roman"/>
          <w:b w:val="0"/>
          <w:i w:val="0"/>
          <w:sz w:val="22"/>
        </w:rPr>
        <w:t>15 business days from the Effective Date. Buyer may terminate for any reason during this period and receive full refund of earnest money.</w:t>
      </w:r>
    </w:p>
    <w:p>
      <w:pPr>
        <w:spacing w:before="280" w:after="80"/>
      </w:pPr>
      <w:r>
        <w:rPr>
          <w:rFonts w:ascii="Times New Roman" w:hAnsi="Times New Roman" w:eastAsia="Times New Roman"/>
          <w:b/>
          <w:i w:val="0"/>
          <w:sz w:val="22"/>
        </w:rPr>
        <w:t>Section 5 — Financing Contingency</w:t>
      </w:r>
    </w:p>
    <w:p>
      <w:pPr>
        <w:spacing w:after="80" w:before="40"/>
      </w:pPr>
      <w:r>
        <w:rPr>
          <w:rFonts w:ascii="Times New Roman" w:hAnsi="Times New Roman" w:eastAsia="Times New Roman"/>
          <w:b w:val="0"/>
          <w:i w:val="0"/>
          <w:sz w:val="22"/>
        </w:rPr>
        <w:t>30 days from the Effective Date. Buyer shall apply for financing within 5 business days and diligently pursue loan approval.</w:t>
      </w:r>
    </w:p>
    <w:p>
      <w:pPr>
        <w:spacing w:before="280" w:after="80"/>
      </w:pPr>
      <w:r>
        <w:rPr>
          <w:rFonts w:ascii="Times New Roman" w:hAnsi="Times New Roman" w:eastAsia="Times New Roman"/>
          <w:b/>
          <w:i w:val="0"/>
          <w:sz w:val="22"/>
        </w:rPr>
        <w:t>Section 6 — Closing Date</w:t>
      </w:r>
    </w:p>
    <w:p>
      <w:pPr>
        <w:spacing w:after="80" w:before="40"/>
      </w:pPr>
      <w:r>
        <w:rPr>
          <w:rFonts w:ascii="Times New Roman" w:hAnsi="Times New Roman" w:eastAsia="Times New Roman"/>
          <w:b w:val="0"/>
          <w:i w:val="0"/>
          <w:sz w:val="22"/>
        </w:rPr>
        <w:t>45 days from execution of this LOI, or 10 business days after satisfaction of all contingencies, whichever is later.</w:t>
      </w:r>
    </w:p>
    <w:p>
      <w:pPr>
        <w:spacing w:before="280" w:after="80"/>
      </w:pPr>
      <w:r>
        <w:rPr>
          <w:rFonts w:ascii="Times New Roman" w:hAnsi="Times New Roman" w:eastAsia="Times New Roman"/>
          <w:b/>
          <w:i w:val="0"/>
          <w:sz w:val="22"/>
        </w:rPr>
        <w:t>Section 7 — Included in Sale</w:t>
      </w:r>
    </w:p>
    <w:p>
      <w:pPr>
        <w:spacing w:after="80" w:before="40"/>
      </w:pPr>
      <w:r>
        <w:rPr>
          <w:rFonts w:ascii="Times New Roman" w:hAnsi="Times New Roman" w:eastAsia="Times New Roman"/>
          <w:b w:val="0"/>
          <w:i w:val="0"/>
          <w:sz w:val="22"/>
        </w:rPr>
        <w:t>All fixtures, appliances, laundry equipment, HVAC systems, and other property attached to or used in connection with the Property, including all tenant security deposits and existing service contracts (unless terminated per Section 4).</w:t>
      </w:r>
    </w:p>
    <w:p>
      <w:pPr>
        <w:spacing w:before="280" w:after="80"/>
      </w:pPr>
      <w:r>
        <w:rPr>
          <w:rFonts w:ascii="Times New Roman" w:hAnsi="Times New Roman" w:eastAsia="Times New Roman"/>
          <w:b/>
          <w:i w:val="0"/>
          <w:sz w:val="22"/>
        </w:rPr>
        <w:t>Section 8 — Excluded</w:t>
      </w:r>
    </w:p>
    <w:p>
      <w:pPr>
        <w:spacing w:after="80" w:before="40"/>
      </w:pPr>
      <w:r>
        <w:rPr>
          <w:rFonts w:ascii="Times New Roman" w:hAnsi="Times New Roman" w:eastAsia="Times New Roman"/>
          <w:b w:val="0"/>
          <w:i w:val="0"/>
          <w:sz w:val="22"/>
        </w:rPr>
        <w:t>Personal property of tenants, Seller’s proprietary business records not directly related to property operations.</w:t>
      </w:r>
    </w:p>
    <w:p>
      <w:pPr>
        <w:spacing w:before="280" w:after="80"/>
      </w:pPr>
      <w:r>
        <w:rPr>
          <w:rFonts w:ascii="Times New Roman" w:hAnsi="Times New Roman" w:eastAsia="Times New Roman"/>
          <w:b/>
          <w:i w:val="0"/>
          <w:sz w:val="22"/>
        </w:rPr>
        <w:t>Section 9 — 1031 Exchange</w:t>
      </w:r>
    </w:p>
    <w:p>
      <w:pPr>
        <w:spacing w:after="80" w:before="40"/>
      </w:pPr>
      <w:r>
        <w:rPr>
          <w:rFonts w:ascii="Times New Roman" w:hAnsi="Times New Roman" w:eastAsia="Times New Roman"/>
          <w:b w:val="0"/>
          <w:i w:val="0"/>
          <w:sz w:val="22"/>
        </w:rPr>
        <w:t>Buyer and/or Seller may structure this transaction as a tax-deferred exchange under IRC Section 1031. Each party agrees to reasonably cooperate with the other’s exchange, provided such cooperation does not delay closing or impose additional cost on the non-exchanging party.</w:t>
      </w:r>
    </w:p>
    <w:p>
      <w:pPr>
        <w:spacing w:before="280" w:after="80"/>
      </w:pPr>
      <w:r>
        <w:rPr>
          <w:rFonts w:ascii="Times New Roman" w:hAnsi="Times New Roman" w:eastAsia="Times New Roman"/>
          <w:b/>
          <w:i w:val="0"/>
          <w:sz w:val="22"/>
        </w:rPr>
        <w:t>Section 10 — Due Diligence Materials</w:t>
      </w:r>
    </w:p>
    <w:p>
      <w:pPr>
        <w:spacing w:after="80" w:before="40"/>
      </w:pPr>
      <w:r>
        <w:rPr>
          <w:rFonts w:ascii="Times New Roman" w:hAnsi="Times New Roman" w:eastAsia="Times New Roman"/>
          <w:b w:val="0"/>
          <w:i w:val="0"/>
          <w:sz w:val="22"/>
        </w:rPr>
        <w:t>Within 5 business days of the Effective Date, Seller shall provide: current rent roll, trailing 12-month P&amp;L, copies of all leases, insurance policy, tax bills, vendor contracts, building permits, and such other documents as Buyer may reasonably request.</w:t>
      </w:r>
    </w:p>
    <w:p>
      <w:pPr>
        <w:spacing w:before="280" w:after="80"/>
      </w:pPr>
      <w:r>
        <w:rPr>
          <w:rFonts w:ascii="Times New Roman" w:hAnsi="Times New Roman" w:eastAsia="Times New Roman"/>
          <w:b/>
          <w:i w:val="0"/>
          <w:sz w:val="22"/>
        </w:rPr>
        <w:t>Section 11 — Representations</w:t>
      </w:r>
    </w:p>
    <w:p>
      <w:pPr>
        <w:spacing w:after="80" w:before="40"/>
      </w:pPr>
      <w:r>
        <w:rPr>
          <w:rFonts w:ascii="Times New Roman" w:hAnsi="Times New Roman" w:eastAsia="Times New Roman"/>
          <w:b w:val="0"/>
          <w:i w:val="0"/>
          <w:sz w:val="22"/>
        </w:rPr>
        <w:t>Seller represents that to Seller’s knowledge:</w:t>
      </w:r>
    </w:p>
    <w:p>
      <w:pPr>
        <w:spacing w:after="80" w:before="40"/>
      </w:pPr>
      <w:r>
        <w:rPr>
          <w:rFonts w:ascii="Times New Roman" w:hAnsi="Times New Roman" w:eastAsia="Times New Roman"/>
          <w:b w:val="0"/>
          <w:i w:val="0"/>
          <w:sz w:val="22"/>
        </w:rPr>
        <w:t xml:space="preserve">    (a) there are no pending or threatened legal actions;</w:t>
      </w:r>
    </w:p>
    <w:p>
      <w:pPr>
        <w:spacing w:after="80" w:before="40"/>
      </w:pPr>
      <w:r>
        <w:rPr>
          <w:rFonts w:ascii="Times New Roman" w:hAnsi="Times New Roman" w:eastAsia="Times New Roman"/>
          <w:b w:val="0"/>
          <w:i w:val="0"/>
          <w:sz w:val="22"/>
        </w:rPr>
        <w:t xml:space="preserve">    (b) all material defects have been disclosed;</w:t>
      </w:r>
    </w:p>
    <w:p>
      <w:pPr>
        <w:spacing w:after="80" w:before="40"/>
      </w:pPr>
      <w:r>
        <w:rPr>
          <w:rFonts w:ascii="Times New Roman" w:hAnsi="Times New Roman" w:eastAsia="Times New Roman"/>
          <w:b w:val="0"/>
          <w:i w:val="0"/>
          <w:sz w:val="22"/>
        </w:rPr>
        <w:t xml:space="preserve">    (c) all leases provided are true and complete copies.</w:t>
      </w:r>
    </w:p>
    <w:p>
      <w:pPr>
        <w:spacing w:before="280" w:after="80"/>
      </w:pPr>
      <w:r>
        <w:rPr>
          <w:rFonts w:ascii="Times New Roman" w:hAnsi="Times New Roman" w:eastAsia="Times New Roman"/>
          <w:b/>
          <w:i w:val="0"/>
          <w:sz w:val="22"/>
        </w:rPr>
        <w:t>Section 12 — Confidentiality</w:t>
      </w:r>
    </w:p>
    <w:p>
      <w:pPr>
        <w:spacing w:after="80"/>
      </w:pPr>
      <w:r>
        <w:rPr>
          <w:rFonts w:ascii="Times New Roman" w:hAnsi="Times New Roman" w:eastAsia="Times New Roman"/>
          <w:b/>
          <w:i w:val="0"/>
          <w:sz w:val="22"/>
        </w:rPr>
        <w:t>BINDING.</w:t>
      </w:r>
      <w:r>
        <w:rPr>
          <w:rFonts w:ascii="Times New Roman" w:hAnsi="Times New Roman" w:eastAsia="Times New Roman"/>
          <w:b w:val="0"/>
          <w:i w:val="0"/>
          <w:sz w:val="22"/>
        </w:rPr>
        <w:t xml:space="preserve"> The parties agree to keep the terms of this LOI and all information exchanged confidential, except as required by law or as necessary to consummate the transaction (attorneys, lenders, accountants).</w:t>
      </w:r>
    </w:p>
    <w:p>
      <w:pPr>
        <w:spacing w:before="280" w:after="80"/>
      </w:pPr>
      <w:r>
        <w:rPr>
          <w:rFonts w:ascii="Times New Roman" w:hAnsi="Times New Roman" w:eastAsia="Times New Roman"/>
          <w:b/>
          <w:i w:val="0"/>
          <w:sz w:val="22"/>
        </w:rPr>
        <w:t>Section 13 — Exclusivity</w:t>
      </w:r>
    </w:p>
    <w:p>
      <w:pPr>
        <w:spacing w:after="80"/>
      </w:pPr>
      <w:r>
        <w:rPr>
          <w:rFonts w:ascii="Times New Roman" w:hAnsi="Times New Roman" w:eastAsia="Times New Roman"/>
          <w:b/>
          <w:i w:val="0"/>
          <w:sz w:val="22"/>
        </w:rPr>
        <w:t>BINDING.</w:t>
      </w:r>
      <w:r>
        <w:rPr>
          <w:rFonts w:ascii="Times New Roman" w:hAnsi="Times New Roman" w:eastAsia="Times New Roman"/>
          <w:b w:val="0"/>
          <w:i w:val="0"/>
          <w:sz w:val="22"/>
        </w:rPr>
        <w:t xml:space="preserve"> For a period of 30 days from execution, Seller agrees not to market the Property, solicit offers, or negotiate with other potential purchasers.</w:t>
      </w:r>
    </w:p>
    <w:p>
      <w:pPr>
        <w:spacing w:before="280" w:after="80"/>
      </w:pPr>
      <w:r>
        <w:rPr>
          <w:rFonts w:ascii="Times New Roman" w:hAnsi="Times New Roman" w:eastAsia="Times New Roman"/>
          <w:b/>
          <w:i w:val="0"/>
          <w:sz w:val="22"/>
        </w:rPr>
        <w:t>Section 14 — Binding Effect</w:t>
      </w:r>
    </w:p>
    <w:p>
      <w:pPr>
        <w:spacing w:after="80" w:before="40"/>
      </w:pPr>
      <w:r>
        <w:rPr>
          <w:rFonts w:ascii="Times New Roman" w:hAnsi="Times New Roman" w:eastAsia="Times New Roman"/>
          <w:b w:val="0"/>
          <w:i w:val="0"/>
          <w:sz w:val="22"/>
        </w:rPr>
        <w:t>This LOI is non-binding except for Sections 12 (Confidentiality) and 13 (Exclusivity), which shall survive regardless of whether a definitive Purchase Agreement is executed.</w:t>
      </w:r>
    </w:p>
    <w:p>
      <w:pPr>
        <w:spacing w:before="280" w:after="80"/>
      </w:pPr>
      <w:r>
        <w:rPr>
          <w:rFonts w:ascii="Times New Roman" w:hAnsi="Times New Roman" w:eastAsia="Times New Roman"/>
          <w:b/>
          <w:i w:val="0"/>
          <w:sz w:val="22"/>
        </w:rPr>
        <w:t>Section 15 — Expiration</w:t>
      </w:r>
    </w:p>
    <w:p>
      <w:pPr>
        <w:spacing w:after="80" w:before="40"/>
      </w:pPr>
      <w:r>
        <w:rPr>
          <w:rFonts w:ascii="Times New Roman" w:hAnsi="Times New Roman" w:eastAsia="Times New Roman"/>
          <w:b w:val="0"/>
          <w:i w:val="0"/>
          <w:sz w:val="22"/>
        </w:rPr>
        <w:t>This LOI shall expire if not executed by both parties within 10 business days of the date first written above.</w:t>
      </w:r>
    </w:p>
    <w:p>
      <w:pPr>
        <w:spacing w:after="120" w:before="480"/>
      </w:pPr>
      <w:r>
        <w:rPr>
          <w:rFonts w:ascii="Times New Roman" w:hAnsi="Times New Roman" w:eastAsia="Times New Roman"/>
          <w:b w:val="0"/>
          <w:i w:val="0"/>
          <w:sz w:val="22"/>
        </w:rPr>
      </w:r>
    </w:p>
    <w:p>
      <w:pPr>
        <w:spacing w:before="360" w:after="120"/>
      </w:pPr>
      <w:r>
        <w:rPr>
          <w:rFonts w:ascii="Times New Roman" w:hAnsi="Times New Roman" w:eastAsia="Times New Roman"/>
          <w:b/>
          <w:i w:val="0"/>
          <w:sz w:val="22"/>
        </w:rPr>
        <w:t>BUYER:</w:t>
      </w:r>
    </w:p>
    <w:p>
      <w:pPr>
        <w:spacing w:after="40" w:before="0"/>
      </w:pPr>
      <w:r>
        <w:rPr>
          <w:rFonts w:ascii="Times New Roman" w:hAnsi="Times New Roman" w:eastAsia="Times New Roman"/>
          <w:b w:val="0"/>
          <w:i w:val="0"/>
          <w:sz w:val="22"/>
        </w:rPr>
        <w:t>___________________________________</w:t>
      </w:r>
    </w:p>
    <w:p>
      <w:pPr>
        <w:spacing w:after="160" w:before="0"/>
      </w:pPr>
      <w:r>
        <w:rPr>
          <w:rFonts w:ascii="Times New Roman" w:hAnsi="Times New Roman" w:eastAsia="Times New Roman"/>
          <w:b w:val="0"/>
          <w:i w:val="0"/>
          <w:sz w:val="22"/>
        </w:rPr>
        <w:t>[BUYER NAME]</w:t>
      </w:r>
    </w:p>
    <w:p>
      <w:pPr>
        <w:spacing w:after="40" w:before="0"/>
      </w:pPr>
      <w:r>
        <w:rPr>
          <w:rFonts w:ascii="Times New Roman" w:hAnsi="Times New Roman" w:eastAsia="Times New Roman"/>
          <w:b w:val="0"/>
          <w:i w:val="0"/>
          <w:sz w:val="22"/>
        </w:rPr>
        <w:t>By: ________________________________</w:t>
      </w:r>
    </w:p>
    <w:p>
      <w:pPr>
        <w:spacing w:after="40" w:before="0"/>
      </w:pPr>
      <w:r>
        <w:rPr>
          <w:rFonts w:ascii="Times New Roman" w:hAnsi="Times New Roman" w:eastAsia="Times New Roman"/>
          <w:b w:val="0"/>
          <w:i w:val="0"/>
          <w:sz w:val="22"/>
        </w:rPr>
        <w:t>Title: _____________________________</w:t>
      </w:r>
    </w:p>
    <w:p>
      <w:pPr>
        <w:spacing w:after="360" w:before="0"/>
      </w:pPr>
      <w:r>
        <w:rPr>
          <w:rFonts w:ascii="Times New Roman" w:hAnsi="Times New Roman" w:eastAsia="Times New Roman"/>
          <w:b w:val="0"/>
          <w:i w:val="0"/>
          <w:sz w:val="22"/>
        </w:rPr>
        <w:t>Date: ______________________________</w:t>
      </w:r>
    </w:p>
    <w:p>
      <w:pPr>
        <w:spacing w:before="360" w:after="120"/>
      </w:pPr>
      <w:r>
        <w:rPr>
          <w:rFonts w:ascii="Times New Roman" w:hAnsi="Times New Roman" w:eastAsia="Times New Roman"/>
          <w:b/>
          <w:i w:val="0"/>
          <w:sz w:val="22"/>
        </w:rPr>
        <w:t>SELLER:</w:t>
      </w:r>
    </w:p>
    <w:p>
      <w:pPr>
        <w:spacing w:after="40" w:before="0"/>
      </w:pPr>
      <w:r>
        <w:rPr>
          <w:rFonts w:ascii="Times New Roman" w:hAnsi="Times New Roman" w:eastAsia="Times New Roman"/>
          <w:b w:val="0"/>
          <w:i w:val="0"/>
          <w:sz w:val="22"/>
        </w:rPr>
        <w:t>___________________________________</w:t>
      </w:r>
    </w:p>
    <w:p>
      <w:pPr>
        <w:spacing w:after="160" w:before="0"/>
      </w:pPr>
      <w:r>
        <w:rPr>
          <w:rFonts w:ascii="Times New Roman" w:hAnsi="Times New Roman" w:eastAsia="Times New Roman"/>
          <w:b w:val="0"/>
          <w:i w:val="0"/>
          <w:sz w:val="22"/>
        </w:rPr>
        <w:t>Sunshine Palms Holdings LLC</w:t>
      </w:r>
    </w:p>
    <w:p>
      <w:pPr>
        <w:spacing w:after="40" w:before="0"/>
      </w:pPr>
      <w:r>
        <w:rPr>
          <w:rFonts w:ascii="Times New Roman" w:hAnsi="Times New Roman" w:eastAsia="Times New Roman"/>
          <w:b w:val="0"/>
          <w:i w:val="0"/>
          <w:sz w:val="22"/>
        </w:rPr>
        <w:t>By: Mariam Shapira, Managing Member</w:t>
      </w:r>
    </w:p>
    <w:p>
      <w:pPr>
        <w:spacing w:after="120" w:before="0"/>
      </w:pPr>
      <w:r>
        <w:rPr>
          <w:rFonts w:ascii="Times New Roman" w:hAnsi="Times New Roman" w:eastAsia="Times New Roman"/>
          <w:b w:val="0"/>
          <w:i w:val="0"/>
          <w:sz w:val="22"/>
        </w:rPr>
        <w:t>Date: ______________________________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