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eastAsia="Calibri"/>
          <w:b/>
          <w:i w:val="0"/>
          <w:color w:val="1E3A5F"/>
          <w:sz w:val="28"/>
        </w:rPr>
        <w:t>ENTITY DOCUMENTATION SUMMARY</w:t>
      </w:r>
    </w:p>
    <w:p>
      <w:pPr>
        <w:spacing w:after="120"/>
        <w:jc w:val="center"/>
      </w:pPr>
      <w:r>
        <w:rPr>
          <w:rFonts w:ascii="Calibri" w:hAnsi="Calibri" w:eastAsia="Calibri"/>
          <w:b w:val="0"/>
          <w:i/>
          <w:sz w:val="24"/>
        </w:rPr>
        <w:t>Prepared for Sale of 2750 Malabar Road SE, Palm Bay, FL 32907</w:t>
      </w:r>
    </w:p>
    <w:p>
      <w:pPr>
        <w:spacing w:after="240"/>
        <w:pBdr>
          <w:bottom w:val="single" w:sz="6" w:space="1" w:color="1E3A5F"/>
        </w:pBdr>
      </w:pPr>
    </w:p>
    <w:p>
      <w:pPr>
        <w:keepNext/>
        <w:spacing w:before="320" w:after="120"/>
      </w:pPr>
      <w:r>
        <w:rPr>
          <w:rFonts w:ascii="Calibri" w:hAnsi="Calibri" w:eastAsia="Calibri"/>
          <w:b/>
          <w:i w:val="0"/>
          <w:color w:val="1E3A5F"/>
          <w:sz w:val="24"/>
        </w:rPr>
        <w:t>Section 1 — Entity Information</w:t>
      </w:r>
    </w:p>
    <w:tbl>
      <w:tblPr>
        <w:tblW w:type="auto" w:w="0"/>
        <w:jc w:val="left"/>
        <w:tblLayout w:type="fixed"/>
        <w:tblLook w:firstColumn="1" w:firstRow="1" w:lastColumn="0" w:lastRow="0" w:noHBand="0" w:noVBand="1" w:val="04A0"/>
      </w:tblPr>
      <w:tblGrid>
        <w:gridCol w:w="4680"/>
        <w:gridCol w:w="4680"/>
      </w:tblGrid>
      <w:tr>
        <w:tc>
          <w:tcPr>
            <w:tcW w:type="dxa" w:w="3600"/>
            <w:shd w:fill="1E3A5F"/>
            <w:tcBorders>
              <w:top w:val="single" w:sz="4" w:space="0" w:color="1E3A5F"/>
              <w:left w:val="single" w:sz="4" w:space="0" w:color="1E3A5F"/>
              <w:bottom w:val="single" w:sz="4" w:space="0" w:color="1E3A5F"/>
              <w:right w:val="single" w:sz="4" w:space="0" w:color="1E3A5F"/>
            </w:tcBorders>
          </w:tcPr>
          <w:p>
            <w:pPr>
              <w:spacing w:before="40" w:after="40"/>
              <w:jc w:val="left"/>
            </w:pPr>
            <w:r/>
            <w:r>
              <w:rPr>
                <w:rFonts w:ascii="Calibri" w:hAnsi="Calibri" w:eastAsia="Calibri"/>
                <w:b/>
                <w:i w:val="0"/>
                <w:color w:val="FFFFFF"/>
                <w:sz w:val="20"/>
              </w:rPr>
              <w:t>Field</w:t>
            </w:r>
          </w:p>
        </w:tc>
        <w:tc>
          <w:tcPr>
            <w:tcW w:type="dxa" w:w="6480"/>
            <w:shd w:fill="1E3A5F"/>
            <w:tcBorders>
              <w:top w:val="single" w:sz="4" w:space="0" w:color="1E3A5F"/>
              <w:left w:val="single" w:sz="4" w:space="0" w:color="1E3A5F"/>
              <w:bottom w:val="single" w:sz="4" w:space="0" w:color="1E3A5F"/>
              <w:right w:val="single" w:sz="4" w:space="0" w:color="1E3A5F"/>
            </w:tcBorders>
          </w:tcPr>
          <w:p>
            <w:pPr>
              <w:spacing w:before="40" w:after="40"/>
              <w:jc w:val="left"/>
            </w:pPr>
            <w:r/>
            <w:r>
              <w:rPr>
                <w:rFonts w:ascii="Calibri" w:hAnsi="Calibri" w:eastAsia="Calibri"/>
                <w:b/>
                <w:i w:val="0"/>
                <w:color w:val="FFFFFF"/>
                <w:sz w:val="20"/>
              </w:rPr>
              <w:t>Value</w:t>
            </w:r>
          </w:p>
        </w:tc>
      </w:tr>
      <w:tr>
        <w:tc>
          <w:tcPr>
            <w:tcW w:type="dxa" w:w="360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i w:val="0"/>
                <w:sz w:val="20"/>
              </w:rPr>
              <w:t>Entity Name</w:t>
            </w:r>
          </w:p>
        </w:tc>
        <w:tc>
          <w:tcPr>
            <w:tcW w:type="dxa" w:w="648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val="0"/>
                <w:i w:val="0"/>
                <w:sz w:val="20"/>
              </w:rPr>
              <w:t>Sunshine Palms Holdings LLC</w:t>
            </w:r>
          </w:p>
        </w:tc>
      </w:tr>
      <w:tr>
        <w:tc>
          <w:tcPr>
            <w:tcW w:type="dxa" w:w="360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i w:val="0"/>
                <w:sz w:val="20"/>
              </w:rPr>
              <w:t>Entity Type</w:t>
            </w:r>
          </w:p>
        </w:tc>
        <w:tc>
          <w:tcPr>
            <w:tcW w:type="dxa" w:w="648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val="0"/>
                <w:i w:val="0"/>
                <w:sz w:val="20"/>
              </w:rPr>
              <w:t>Limited Liability Company</w:t>
            </w:r>
          </w:p>
        </w:tc>
      </w:tr>
      <w:tr>
        <w:tc>
          <w:tcPr>
            <w:tcW w:type="dxa" w:w="360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i w:val="0"/>
                <w:sz w:val="20"/>
              </w:rPr>
              <w:t>State of Formation</w:t>
            </w:r>
          </w:p>
        </w:tc>
        <w:tc>
          <w:tcPr>
            <w:tcW w:type="dxa" w:w="648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val="0"/>
                <w:i w:val="0"/>
                <w:sz w:val="20"/>
              </w:rPr>
              <w:t>Florida</w:t>
            </w:r>
          </w:p>
        </w:tc>
      </w:tr>
      <w:tr>
        <w:tc>
          <w:tcPr>
            <w:tcW w:type="dxa" w:w="360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i w:val="0"/>
                <w:sz w:val="20"/>
              </w:rPr>
              <w:t>Document Number</w:t>
            </w:r>
          </w:p>
        </w:tc>
        <w:tc>
          <w:tcPr>
            <w:tcW w:type="dxa" w:w="648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val="0"/>
                <w:i w:val="0"/>
                <w:sz w:val="20"/>
              </w:rPr>
              <w:t>L18000045678</w:t>
            </w:r>
          </w:p>
        </w:tc>
      </w:tr>
      <w:tr>
        <w:tc>
          <w:tcPr>
            <w:tcW w:type="dxa" w:w="360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i w:val="0"/>
                <w:sz w:val="20"/>
              </w:rPr>
              <w:t>Filing Date</w:t>
            </w:r>
          </w:p>
        </w:tc>
        <w:tc>
          <w:tcPr>
            <w:tcW w:type="dxa" w:w="648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val="0"/>
                <w:i w:val="0"/>
                <w:sz w:val="20"/>
              </w:rPr>
              <w:t>February 1, 2018</w:t>
            </w:r>
          </w:p>
        </w:tc>
      </w:tr>
      <w:tr>
        <w:tc>
          <w:tcPr>
            <w:tcW w:type="dxa" w:w="360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i w:val="0"/>
                <w:sz w:val="20"/>
              </w:rPr>
              <w:t>Status</w:t>
            </w:r>
          </w:p>
        </w:tc>
        <w:tc>
          <w:tcPr>
            <w:tcW w:type="dxa" w:w="648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val="0"/>
                <w:i w:val="0"/>
                <w:sz w:val="20"/>
              </w:rPr>
              <w:t>Active</w:t>
            </w:r>
          </w:p>
        </w:tc>
      </w:tr>
      <w:tr>
        <w:tc>
          <w:tcPr>
            <w:tcW w:type="dxa" w:w="360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i w:val="0"/>
                <w:sz w:val="20"/>
              </w:rPr>
              <w:t>Last Annual Report</w:t>
            </w:r>
          </w:p>
        </w:tc>
        <w:tc>
          <w:tcPr>
            <w:tcW w:type="dxa" w:w="648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val="0"/>
                <w:i w:val="0"/>
                <w:sz w:val="20"/>
              </w:rPr>
              <w:t>Filed through 2026</w:t>
            </w:r>
          </w:p>
        </w:tc>
      </w:tr>
      <w:tr>
        <w:tc>
          <w:tcPr>
            <w:tcW w:type="dxa" w:w="360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i w:val="0"/>
                <w:sz w:val="20"/>
              </w:rPr>
              <w:t>FEI/EIN</w:t>
            </w:r>
          </w:p>
        </w:tc>
        <w:tc>
          <w:tcPr>
            <w:tcW w:type="dxa" w:w="648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val="0"/>
                <w:i w:val="0"/>
                <w:sz w:val="20"/>
              </w:rPr>
              <w:t>82-XXXXXXX</w:t>
            </w:r>
          </w:p>
        </w:tc>
      </w:tr>
    </w:tbl>
    <w:p>
      <w:pPr>
        <w:keepNext/>
        <w:spacing w:before="320" w:after="120"/>
      </w:pPr>
      <w:r>
        <w:rPr>
          <w:rFonts w:ascii="Calibri" w:hAnsi="Calibri" w:eastAsia="Calibri"/>
          <w:b/>
          <w:i w:val="0"/>
          <w:color w:val="1E3A5F"/>
          <w:sz w:val="24"/>
        </w:rPr>
        <w:t>Section 2 — Registered Agent</w:t>
      </w:r>
    </w:p>
    <w:p>
      <w:pPr>
        <w:spacing w:after="40" w:before="20"/>
        <w:ind w:left="720"/>
      </w:pPr>
      <w:r>
        <w:rPr>
          <w:rFonts w:ascii="Calibri" w:hAnsi="Calibri" w:eastAsia="Calibri"/>
          <w:b w:val="0"/>
          <w:i w:val="0"/>
          <w:sz w:val="22"/>
        </w:rPr>
        <w:t>•  Name: Mariam Shapira</w:t>
      </w:r>
    </w:p>
    <w:p>
      <w:pPr>
        <w:spacing w:after="40" w:before="20"/>
        <w:ind w:left="720"/>
      </w:pPr>
      <w:r>
        <w:rPr>
          <w:rFonts w:ascii="Calibri" w:hAnsi="Calibri" w:eastAsia="Calibri"/>
          <w:b w:val="0"/>
          <w:i w:val="0"/>
          <w:sz w:val="22"/>
        </w:rPr>
        <w:t>•  Address: 123 Ocean Ave, Satellite Beach, FL 32937</w:t>
      </w:r>
    </w:p>
    <w:p>
      <w:pPr>
        <w:spacing w:after="40" w:before="20"/>
        <w:ind w:left="720"/>
      </w:pPr>
      <w:r>
        <w:rPr>
          <w:rFonts w:ascii="Calibri" w:hAnsi="Calibri" w:eastAsia="Calibri"/>
          <w:b w:val="0"/>
          <w:i w:val="0"/>
          <w:sz w:val="22"/>
        </w:rPr>
        <w:t>•  Status: Current</w:t>
      </w:r>
    </w:p>
    <w:p>
      <w:pPr>
        <w:keepNext/>
        <w:spacing w:before="320" w:after="120"/>
      </w:pPr>
      <w:r>
        <w:rPr>
          <w:rFonts w:ascii="Calibri" w:hAnsi="Calibri" w:eastAsia="Calibri"/>
          <w:b/>
          <w:i w:val="0"/>
          <w:color w:val="1E3A5F"/>
          <w:sz w:val="24"/>
        </w:rPr>
        <w:t>Section 3 — Members/Managers</w:t>
      </w:r>
    </w:p>
    <w:tbl>
      <w:tblPr>
        <w:tblW w:type="auto" w:w="0"/>
        <w:jc w:val="left"/>
        <w:tblLayout w:type="fixed"/>
        <w:tblLook w:firstColumn="1" w:firstRow="1" w:lastColumn="0" w:lastRow="0" w:noHBand="0" w:noVBand="1" w:val="04A0"/>
      </w:tblPr>
      <w:tblGrid>
        <w:gridCol w:w="3120"/>
        <w:gridCol w:w="3120"/>
        <w:gridCol w:w="3120"/>
      </w:tblGrid>
      <w:tr>
        <w:tc>
          <w:tcPr>
            <w:tcW w:type="dxa" w:w="3600"/>
            <w:shd w:fill="1E3A5F"/>
            <w:tcBorders>
              <w:top w:val="single" w:sz="4" w:space="0" w:color="1E3A5F"/>
              <w:left w:val="single" w:sz="4" w:space="0" w:color="1E3A5F"/>
              <w:bottom w:val="single" w:sz="4" w:space="0" w:color="1E3A5F"/>
              <w:right w:val="single" w:sz="4" w:space="0" w:color="1E3A5F"/>
            </w:tcBorders>
          </w:tcPr>
          <w:p>
            <w:pPr>
              <w:spacing w:before="40" w:after="40"/>
              <w:jc w:val="left"/>
            </w:pPr>
            <w:r/>
            <w:r>
              <w:rPr>
                <w:rFonts w:ascii="Calibri" w:hAnsi="Calibri" w:eastAsia="Calibri"/>
                <w:b/>
                <w:i w:val="0"/>
                <w:color w:val="FFFFFF"/>
                <w:sz w:val="20"/>
              </w:rPr>
              <w:t>Member</w:t>
            </w:r>
          </w:p>
        </w:tc>
        <w:tc>
          <w:tcPr>
            <w:tcW w:type="dxa" w:w="2160"/>
            <w:shd w:fill="1E3A5F"/>
            <w:tcBorders>
              <w:top w:val="single" w:sz="4" w:space="0" w:color="1E3A5F"/>
              <w:left w:val="single" w:sz="4" w:space="0" w:color="1E3A5F"/>
              <w:bottom w:val="single" w:sz="4" w:space="0" w:color="1E3A5F"/>
              <w:right w:val="single" w:sz="4" w:space="0" w:color="1E3A5F"/>
            </w:tcBorders>
          </w:tcPr>
          <w:p>
            <w:pPr>
              <w:spacing w:before="40" w:after="40"/>
              <w:jc w:val="left"/>
            </w:pPr>
            <w:r/>
            <w:r>
              <w:rPr>
                <w:rFonts w:ascii="Calibri" w:hAnsi="Calibri" w:eastAsia="Calibri"/>
                <w:b/>
                <w:i w:val="0"/>
                <w:color w:val="FFFFFF"/>
                <w:sz w:val="20"/>
              </w:rPr>
              <w:t>Ownership</w:t>
            </w:r>
          </w:p>
        </w:tc>
        <w:tc>
          <w:tcPr>
            <w:tcW w:type="dxa" w:w="4320"/>
            <w:shd w:fill="1E3A5F"/>
            <w:tcBorders>
              <w:top w:val="single" w:sz="4" w:space="0" w:color="1E3A5F"/>
              <w:left w:val="single" w:sz="4" w:space="0" w:color="1E3A5F"/>
              <w:bottom w:val="single" w:sz="4" w:space="0" w:color="1E3A5F"/>
              <w:right w:val="single" w:sz="4" w:space="0" w:color="1E3A5F"/>
            </w:tcBorders>
          </w:tcPr>
          <w:p>
            <w:pPr>
              <w:spacing w:before="40" w:after="40"/>
              <w:jc w:val="left"/>
            </w:pPr>
            <w:r/>
            <w:r>
              <w:rPr>
                <w:rFonts w:ascii="Calibri" w:hAnsi="Calibri" w:eastAsia="Calibri"/>
                <w:b/>
                <w:i w:val="0"/>
                <w:color w:val="FFFFFF"/>
                <w:sz w:val="20"/>
              </w:rPr>
              <w:t>Role</w:t>
            </w:r>
          </w:p>
        </w:tc>
      </w:tr>
      <w:tr>
        <w:tc>
          <w:tcPr>
            <w:tcW w:type="dxa" w:w="360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val="0"/>
                <w:i w:val="0"/>
                <w:sz w:val="20"/>
              </w:rPr>
              <w:t>Mariam Shapira</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val="0"/>
                <w:i w:val="0"/>
                <w:sz w:val="20"/>
              </w:rPr>
              <w:t>100%</w:t>
            </w:r>
          </w:p>
        </w:tc>
        <w:tc>
          <w:tcPr>
            <w:tcW w:type="dxa" w:w="4320"/>
            <w:tcBorders>
              <w:top w:val="single" w:sz="4" w:space="0" w:color="000000"/>
              <w:left w:val="single" w:sz="4" w:space="0" w:color="000000"/>
              <w:bottom w:val="single" w:sz="4" w:space="0" w:color="000000"/>
              <w:right w:val="single" w:sz="4" w:space="0" w:color="000000"/>
            </w:tcBorders>
          </w:tcPr>
          <w:p>
            <w:pPr>
              <w:spacing w:before="40" w:after="40"/>
            </w:pPr>
            <w:r/>
            <w:r>
              <w:rPr>
                <w:rFonts w:ascii="Calibri" w:hAnsi="Calibri" w:eastAsia="Calibri"/>
                <w:b w:val="0"/>
                <w:i w:val="0"/>
                <w:sz w:val="20"/>
              </w:rPr>
              <w:t>Managing Member</w:t>
            </w:r>
          </w:p>
        </w:tc>
      </w:tr>
    </w:tbl>
    <w:p>
      <w:pPr>
        <w:keepNext/>
        <w:spacing w:before="320" w:after="120"/>
      </w:pPr>
      <w:r>
        <w:rPr>
          <w:rFonts w:ascii="Calibri" w:hAnsi="Calibri" w:eastAsia="Calibri"/>
          <w:b/>
          <w:i w:val="0"/>
          <w:color w:val="1E3A5F"/>
          <w:sz w:val="24"/>
        </w:rPr>
        <w:t>Section 4 — Operating Agreement Summary</w:t>
      </w:r>
    </w:p>
    <w:p>
      <w:pPr>
        <w:spacing w:after="40" w:before="20"/>
        <w:ind w:left="720"/>
      </w:pPr>
      <w:r>
        <w:rPr>
          <w:rFonts w:ascii="Calibri" w:hAnsi="Calibri" w:eastAsia="Calibri"/>
          <w:b w:val="0"/>
          <w:i w:val="0"/>
          <w:sz w:val="22"/>
        </w:rPr>
        <w:t>•  Type: Single-Member LLC</w:t>
      </w:r>
    </w:p>
    <w:p>
      <w:pPr>
        <w:spacing w:after="40" w:before="20"/>
        <w:ind w:left="720"/>
      </w:pPr>
      <w:r>
        <w:rPr>
          <w:rFonts w:ascii="Calibri" w:hAnsi="Calibri" w:eastAsia="Calibri"/>
          <w:b w:val="0"/>
          <w:i w:val="0"/>
          <w:sz w:val="22"/>
        </w:rPr>
        <w:t>•  Formation date: February 1, 2018</w:t>
      </w:r>
    </w:p>
    <w:p>
      <w:pPr>
        <w:spacing w:after="40" w:before="20"/>
        <w:ind w:left="720"/>
      </w:pPr>
      <w:r>
        <w:rPr>
          <w:rFonts w:ascii="Calibri" w:hAnsi="Calibri" w:eastAsia="Calibri"/>
          <w:b w:val="0"/>
          <w:i w:val="0"/>
          <w:sz w:val="22"/>
        </w:rPr>
        <w:t>•  Managing Member has full authority to:</w:t>
      </w:r>
    </w:p>
    <w:p>
      <w:pPr>
        <w:spacing w:after="40" w:before="20"/>
        <w:ind w:left="1080"/>
      </w:pPr>
      <w:r>
        <w:rPr>
          <w:rFonts w:ascii="Calibri" w:hAnsi="Calibri" w:eastAsia="Calibri"/>
          <w:b w:val="0"/>
          <w:i w:val="0"/>
          <w:sz w:val="22"/>
        </w:rPr>
        <w:t>–  Buy, sell, lease, or encumber real property</w:t>
      </w:r>
    </w:p>
    <w:p>
      <w:pPr>
        <w:spacing w:after="40" w:before="20"/>
        <w:ind w:left="1080"/>
      </w:pPr>
      <w:r>
        <w:rPr>
          <w:rFonts w:ascii="Calibri" w:hAnsi="Calibri" w:eastAsia="Calibri"/>
          <w:b w:val="0"/>
          <w:i w:val="0"/>
          <w:sz w:val="22"/>
        </w:rPr>
        <w:t>–  Execute contracts and agreements</w:t>
      </w:r>
    </w:p>
    <w:p>
      <w:pPr>
        <w:spacing w:after="40" w:before="20"/>
        <w:ind w:left="1080"/>
      </w:pPr>
      <w:r>
        <w:rPr>
          <w:rFonts w:ascii="Calibri" w:hAnsi="Calibri" w:eastAsia="Calibri"/>
          <w:b w:val="0"/>
          <w:i w:val="0"/>
          <w:sz w:val="22"/>
        </w:rPr>
        <w:t>–  Manage day-to-day operations</w:t>
      </w:r>
    </w:p>
    <w:p>
      <w:pPr>
        <w:spacing w:after="40" w:before="20"/>
        <w:ind w:left="720"/>
      </w:pPr>
      <w:r>
        <w:rPr>
          <w:rFonts w:ascii="Calibri" w:hAnsi="Calibri" w:eastAsia="Calibri"/>
          <w:b w:val="0"/>
          <w:i w:val="0"/>
          <w:sz w:val="22"/>
        </w:rPr>
        <w:t>•  No additional member consent required for sale of assets</w:t>
      </w:r>
    </w:p>
    <w:p>
      <w:pPr>
        <w:spacing w:after="40" w:before="20"/>
        <w:ind w:left="720"/>
      </w:pPr>
      <w:r>
        <w:rPr>
          <w:rFonts w:ascii="Calibri" w:hAnsi="Calibri" w:eastAsia="Calibri"/>
          <w:b w:val="0"/>
          <w:i w:val="0"/>
          <w:sz w:val="22"/>
        </w:rPr>
        <w:t>•  No transfer restrictions that would impede the proposed sale</w:t>
      </w:r>
    </w:p>
    <w:p>
      <w:pPr>
        <w:spacing w:after="40" w:before="20"/>
        <w:ind w:left="720"/>
      </w:pPr>
      <w:r>
        <w:rPr>
          <w:rFonts w:ascii="Calibri" w:hAnsi="Calibri" w:eastAsia="Calibri"/>
          <w:b w:val="0"/>
          <w:i w:val="0"/>
          <w:sz w:val="22"/>
        </w:rPr>
        <w:t>•  Dissolution provisions: At the election of the Managing Member</w:t>
      </w:r>
    </w:p>
    <w:p>
      <w:pPr>
        <w:keepNext/>
        <w:spacing w:before="320" w:after="120"/>
      </w:pPr>
      <w:r>
        <w:rPr>
          <w:rFonts w:ascii="Calibri" w:hAnsi="Calibri" w:eastAsia="Calibri"/>
          <w:b/>
          <w:i w:val="0"/>
          <w:color w:val="1E3A5F"/>
          <w:sz w:val="24"/>
        </w:rPr>
        <w:t>Section 5 — Good Standing Verification</w:t>
      </w:r>
    </w:p>
    <w:p>
      <w:pPr>
        <w:spacing w:after="40" w:before="20"/>
        <w:ind w:left="720"/>
      </w:pPr>
      <w:r>
        <w:rPr>
          <w:rFonts w:ascii="Calibri" w:hAnsi="Calibri" w:eastAsia="Calibri"/>
          <w:b w:val="0"/>
          <w:i w:val="0"/>
          <w:sz w:val="22"/>
        </w:rPr>
        <w:t>•  Florida Division of Corporations: Active/Current</w:t>
      </w:r>
    </w:p>
    <w:p>
      <w:pPr>
        <w:spacing w:after="40" w:before="20"/>
        <w:ind w:left="720"/>
      </w:pPr>
      <w:r>
        <w:rPr>
          <w:rFonts w:ascii="Calibri" w:hAnsi="Calibri" w:eastAsia="Calibri"/>
          <w:b w:val="0"/>
          <w:i w:val="0"/>
          <w:sz w:val="22"/>
        </w:rPr>
        <w:t>•  Annual Report: Filed and current through 2026</w:t>
      </w:r>
    </w:p>
    <w:p>
      <w:pPr>
        <w:spacing w:after="40" w:before="20"/>
        <w:ind w:left="720"/>
      </w:pPr>
      <w:r>
        <w:rPr>
          <w:rFonts w:ascii="Calibri" w:hAnsi="Calibri" w:eastAsia="Calibri"/>
          <w:b w:val="0"/>
          <w:i w:val="0"/>
          <w:sz w:val="22"/>
        </w:rPr>
        <w:t>•  No administrative actions pending</w:t>
      </w:r>
    </w:p>
    <w:p>
      <w:pPr>
        <w:spacing w:after="40" w:before="20"/>
        <w:ind w:left="720"/>
      </w:pPr>
      <w:r>
        <w:rPr>
          <w:rFonts w:ascii="Calibri" w:hAnsi="Calibri" w:eastAsia="Calibri"/>
          <w:b w:val="0"/>
          <w:i w:val="0"/>
          <w:sz w:val="22"/>
        </w:rPr>
        <w:t>•  No dissolution proceedings</w:t>
      </w:r>
    </w:p>
    <w:p>
      <w:pPr>
        <w:keepNext/>
        <w:spacing w:before="320" w:after="120"/>
      </w:pPr>
      <w:r>
        <w:rPr>
          <w:rFonts w:ascii="Calibri" w:hAnsi="Calibri" w:eastAsia="Calibri"/>
          <w:b/>
          <w:i w:val="0"/>
          <w:color w:val="1E3A5F"/>
          <w:sz w:val="24"/>
        </w:rPr>
        <w:t>Section 6 — Tax Status</w:t>
      </w:r>
    </w:p>
    <w:p>
      <w:pPr>
        <w:spacing w:after="40" w:before="20"/>
        <w:ind w:left="720"/>
      </w:pPr>
      <w:r>
        <w:rPr>
          <w:rFonts w:ascii="Calibri" w:hAnsi="Calibri" w:eastAsia="Calibri"/>
          <w:b w:val="0"/>
          <w:i w:val="0"/>
          <w:sz w:val="22"/>
        </w:rPr>
        <w:t>•  Federal EIN: 82-XXXXXXX</w:t>
      </w:r>
    </w:p>
    <w:p>
      <w:pPr>
        <w:spacing w:after="40" w:before="20"/>
        <w:ind w:left="720"/>
      </w:pPr>
      <w:r>
        <w:rPr>
          <w:rFonts w:ascii="Calibri" w:hAnsi="Calibri" w:eastAsia="Calibri"/>
          <w:b w:val="0"/>
          <w:i w:val="0"/>
          <w:sz w:val="22"/>
        </w:rPr>
        <w:t>•  State Registration: Current</w:t>
      </w:r>
    </w:p>
    <w:p>
      <w:pPr>
        <w:spacing w:after="40" w:before="20"/>
        <w:ind w:left="720"/>
      </w:pPr>
      <w:r>
        <w:rPr>
          <w:rFonts w:ascii="Calibri" w:hAnsi="Calibri" w:eastAsia="Calibri"/>
          <w:b w:val="0"/>
          <w:i w:val="0"/>
          <w:sz w:val="22"/>
        </w:rPr>
        <w:t>•  Property Tax Account: Current through 2025</w:t>
      </w:r>
    </w:p>
    <w:p>
      <w:pPr>
        <w:spacing w:after="40" w:before="20"/>
        <w:ind w:left="720"/>
      </w:pPr>
      <w:r>
        <w:rPr>
          <w:rFonts w:ascii="Calibri" w:hAnsi="Calibri" w:eastAsia="Calibri"/>
          <w:b w:val="0"/>
          <w:i w:val="0"/>
          <w:sz w:val="22"/>
        </w:rPr>
        <w:t>•  No outstanding tax liens (per title search)</w:t>
      </w:r>
    </w:p>
    <w:p>
      <w:pPr>
        <w:keepNext/>
        <w:spacing w:before="320" w:after="120"/>
      </w:pPr>
      <w:r>
        <w:rPr>
          <w:rFonts w:ascii="Calibri" w:hAnsi="Calibri" w:eastAsia="Calibri"/>
          <w:b/>
          <w:i w:val="0"/>
          <w:color w:val="1E3A5F"/>
          <w:sz w:val="24"/>
        </w:rPr>
        <w:t>Section 7 — Authority to Sell</w:t>
      </w:r>
    </w:p>
    <w:p>
      <w:pPr>
        <w:spacing w:after="120" w:before="40"/>
      </w:pPr>
      <w:r>
        <w:rPr>
          <w:rFonts w:ascii="Calibri" w:hAnsi="Calibri" w:eastAsia="Calibri"/>
          <w:b w:val="0"/>
          <w:i w:val="0"/>
          <w:sz w:val="22"/>
        </w:rPr>
        <w:t>Based on review of the Operating Agreement and Florida LLC statutes (Chapter 605):</w:t>
      </w:r>
    </w:p>
    <w:p>
      <w:pPr>
        <w:spacing w:after="40" w:before="20"/>
        <w:ind w:left="720"/>
      </w:pPr>
      <w:r>
        <w:rPr>
          <w:rFonts w:ascii="Calibri" w:hAnsi="Calibri" w:eastAsia="Calibri"/>
          <w:b w:val="0"/>
          <w:i w:val="0"/>
          <w:sz w:val="22"/>
        </w:rPr>
        <w:t>•  Mariam Shapira, as sole Managing Member with 100% ownership interest, has full and unrestricted authority to execute a sale of the property at 2750 Malabar Road SE, Palm Bay, FL 32907</w:t>
      </w:r>
    </w:p>
    <w:p>
      <w:pPr>
        <w:spacing w:after="40" w:before="20"/>
        <w:ind w:left="720"/>
      </w:pPr>
      <w:r>
        <w:rPr>
          <w:rFonts w:ascii="Calibri" w:hAnsi="Calibri" w:eastAsia="Calibri"/>
          <w:b w:val="0"/>
          <w:i w:val="0"/>
          <w:sz w:val="22"/>
        </w:rPr>
        <w:t>•  No additional member votes, consents, or approvals are required</w:t>
      </w:r>
    </w:p>
    <w:p>
      <w:pPr>
        <w:spacing w:after="40" w:before="20"/>
        <w:ind w:left="720"/>
      </w:pPr>
      <w:r>
        <w:rPr>
          <w:rFonts w:ascii="Calibri" w:hAnsi="Calibri" w:eastAsia="Calibri"/>
          <w:b w:val="0"/>
          <w:i w:val="0"/>
          <w:sz w:val="22"/>
        </w:rPr>
        <w:t>•  No right of first refusal or transfer restrictions apply</w:t>
      </w:r>
    </w:p>
    <w:p>
      <w:pPr>
        <w:spacing w:after="120" w:before="240"/>
      </w:pPr>
      <w:r>
        <w:rPr>
          <w:rFonts w:ascii="Calibri" w:hAnsi="Calibri" w:eastAsia="Calibri"/>
          <w:b w:val="0"/>
          <w:i w:val="0"/>
          <w:sz w:val="22"/>
        </w:rPr>
      </w:r>
    </w:p>
    <w:p>
      <w:pPr>
        <w:spacing w:before="320" w:after="160"/>
      </w:pPr>
      <w:r>
        <w:rPr>
          <w:rFonts w:ascii="Calibri" w:hAnsi="Calibri" w:eastAsia="Calibri"/>
          <w:b/>
          <w:i w:val="0"/>
          <w:color w:val="1E3A5F"/>
          <w:sz w:val="24"/>
        </w:rPr>
        <w:t>Certification</w:t>
      </w:r>
    </w:p>
    <w:p>
      <w:pPr>
        <w:spacing w:after="360"/>
        <w:ind w:left="720"/>
      </w:pPr>
      <w:r>
        <w:rPr>
          <w:rFonts w:ascii="Calibri" w:hAnsi="Calibri" w:eastAsia="Calibri"/>
          <w:b w:val="0"/>
          <w:i/>
          <w:sz w:val="22"/>
        </w:rPr>
        <w:t>“I, Mariam Shapira, as the sole Managing Member of Sunshine Palms Holdings LLC, certify that the information contained in this summary is true and correct to the best of my knowledge as of [DATE].”</w:t>
      </w:r>
    </w:p>
    <w:p>
      <w:pPr>
        <w:spacing w:after="120" w:before="120"/>
      </w:pPr>
      <w:r>
        <w:rPr>
          <w:rFonts w:ascii="Calibri" w:hAnsi="Calibri" w:eastAsia="Calibri"/>
          <w:b w:val="0"/>
          <w:i w:val="0"/>
          <w:sz w:val="22"/>
        </w:rPr>
      </w:r>
    </w:p>
    <w:p>
      <w:pPr>
        <w:spacing w:after="40"/>
      </w:pPr>
      <w:r>
        <w:rPr>
          <w:rFonts w:ascii="Calibri" w:hAnsi="Calibri" w:eastAsia="Calibri"/>
          <w:b w:val="0"/>
          <w:i w:val="0"/>
          <w:sz w:val="22"/>
        </w:rPr>
        <w:t>_____________________________________________</w:t>
      </w:r>
    </w:p>
    <w:p>
      <w:pPr>
        <w:spacing w:after="40"/>
      </w:pPr>
      <w:r>
        <w:rPr>
          <w:rFonts w:ascii="Calibri" w:hAnsi="Calibri" w:eastAsia="Calibri"/>
          <w:b/>
          <w:i w:val="0"/>
          <w:sz w:val="22"/>
        </w:rPr>
        <w:t>Mariam Shapira, Managing Member</w:t>
      </w:r>
    </w:p>
    <w:p>
      <w:pPr>
        <w:spacing w:after="120"/>
      </w:pPr>
      <w:r>
        <w:rPr>
          <w:rFonts w:ascii="Calibri" w:hAnsi="Calibri" w:eastAsia="Calibri"/>
          <w:b w:val="0"/>
          <w:i w:val="0"/>
          <w:sz w:val="22"/>
        </w:rPr>
        <w:t>Sunshine Palms Holdings LLC</w:t>
      </w:r>
    </w:p>
    <w:p>
      <w:pPr>
        <w:spacing w:after="120"/>
      </w:pPr>
      <w:r>
        <w:rPr>
          <w:rFonts w:ascii="Calibri" w:hAnsi="Calibri" w:eastAsia="Calibri"/>
          <w:b w:val="0"/>
          <w:i w:val="0"/>
          <w:sz w:val="22"/>
        </w:rPr>
        <w:t>Date: _______________</w:t>
      </w:r>
    </w:p>
    <w:p>
      <w:pPr>
        <w:spacing w:after="240" w:before="360"/>
      </w:pPr>
      <w:r>
        <w:rPr>
          <w:rFonts w:ascii="Calibri" w:hAnsi="Calibri" w:eastAsia="Calibri"/>
          <w:b w:val="0"/>
          <w:i w:val="0"/>
          <w:sz w:val="22"/>
        </w:rPr>
      </w:r>
    </w:p>
    <w:p>
      <w:pPr>
        <w:spacing w:after="120"/>
      </w:pPr>
      <w:r>
        <w:rPr>
          <w:rFonts w:ascii="Calibri" w:hAnsi="Calibri" w:eastAsia="Calibri"/>
          <w:b w:val="0"/>
          <w:i/>
          <w:color w:val="666666"/>
          <w:sz w:val="18"/>
        </w:rPr>
        <w:t>This Entity Documentation Summary has been prepared for the purpose of facilitating the sale of the property located at 2750 Malabar Road SE, Palm Bay, FL 32907. It is intended for use by the parties to the transaction and their legal counsel. This document does not constitute legal advice.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