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LETTER OF INTENT</w:t>
      </w:r>
    </w:p>
    <w:p>
      <w:pPr>
        <w:spacing w:after="2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Non-Binding Expression of Interest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For the Acquisition of Real Property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Date: ________________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To: Sunshine Palms Holdings LLC ("Seller")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The undersigned ("Buyer") hereby submits this non-binding Letter of Intent for the purchase of the property described below, subject to the following terms and conditions: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PROPERTY: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Palm Bay Palms Apartments
2750 Malabar Road SE, Palm Bay, FL 32907
18-unit multifamily complex, Parcel ID: 29-37-05-00-00142.0-0000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 PRICE: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$________________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EARNEST MONEY: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$________________ (to be deposited within 3 business days of execution, held in escrow by Brevard Title &amp; Abstract Co.)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INSPECTION PERIOD: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business days from execution. Earnest money becomes hard (non-refundable) after inspection period, subject to financing contingency.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FINANCING: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Buyer shall have 30 days from execution to obtain a financing commitment. Buyer intends to finance approximately 75% of purchase price.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CLOSING DATE: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 days from mutual execution of a Purchase and Sale Agreement, or such later date as mutually agreed.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INCLUDED: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fixtures, appliances, laundry equipment, common area furnishings, maintenance equipment, and all tenant leases and security deposits.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EXCLUDED: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property of tenants, Seller's business records (except property-specific records to be delivered at closing).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1031 EXCHANGE: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Buyer and/or Seller may elect to structure this transaction as a tax-deferred exchange under IRC Section 1031. Each party agrees to cooperate at no additional cost.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DUE DILIGENCE: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Seller shall provide within 5 business days of execution: T-12 P&amp;L, rent roll, all leases, insurance policy, tax returns (2 years), service contracts, and permits.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Seller shall convey marketable and insurable title by Special Warranty Deed, free of all liens and encumbrances except current tenant leases.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PRORATIONS: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Property taxes, rents, insurance (if assigned), and utilities shall be prorated as of the date of closing.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BINDING PROVISIONS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Letter of Intent is non-binding except for the following provisions which shall survive: (a) Confidentiality: Both parties agree to keep the terms confidential; (b) Exclusivity: Seller agrees to negotiate exclusively with Buyer for 30 days from the date of this LOI; (c) Broker: Buyer represents it is [represented/not represented] by a licensed real estate broker.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This LOI shall expire if not accepted by Seller within 10 business days.</w:t>
      </w:r>
    </w:p>
    <w:p>
      <w:pPr>
        <w:spacing w:before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BUYER:
_________________________________
Name: ________________________
Title: ________________________
Entity: _______________________
Date: ________________________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ACCEPTED BY SELLER:
_________________________________
Sunshine Palms Holdings LLC
By: __________________________
Title: Managing Member
Date: ________________________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2026-02-25T23:17:50.520Z</dcterms:created>
  <dcterms:modified xsi:type="dcterms:W3CDTF">2026-02-25T23:17:50.520Z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