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3A5F"/>
          <w:sz w:val="72"/>
        </w:rPr>
        <w:t>BLISS PALM BAY</w:t>
      </w:r>
    </w:p>
    <w:p>
      <w:pPr>
        <w:jc w:val="center"/>
      </w:pPr>
      <w:r>
        <w:rPr>
          <w:rFonts w:ascii="Arial" w:hAnsi="Arial"/>
          <w:color w:val="1E3A5F"/>
          <w:sz w:val="40"/>
        </w:rPr>
        <w:t>Site Plan Feasibility Report</w:t>
      </w:r>
    </w:p>
    <w:p/>
    <w:p>
      <w:pPr>
        <w:jc w:val="center"/>
      </w:pPr>
      <w:r>
        <w:rPr>
          <w:rFonts w:ascii="Arial" w:hAnsi="Arial"/>
          <w:sz w:val="24"/>
        </w:rPr>
        <w:t>2165 Sandy Pines Drive NE, Palm Bay, FL 32905</w:t>
      </w:r>
    </w:p>
    <w:p>
      <w:pPr>
        <w:jc w:val="center"/>
      </w:pPr>
      <w:r>
        <w:rPr>
          <w:rFonts w:ascii="Arial" w:hAnsi="Arial"/>
          <w:sz w:val="24"/>
        </w:rPr>
        <w:t>Parcel ID: 28-37-27-00-7  |  BCPAO Account: 2835546</w:t>
      </w:r>
    </w:p>
    <w:p>
      <w:pPr>
        <w:jc w:val="center"/>
      </w:pPr>
      <w:r>
        <w:rPr>
          <w:rFonts w:ascii="Arial" w:hAnsi="Arial"/>
          <w:sz w:val="24"/>
        </w:rPr>
      </w:r>
    </w:p>
    <w:p>
      <w:pPr>
        <w:jc w:val="center"/>
      </w:pPr>
      <w:r>
        <w:rPr>
          <w:rFonts w:ascii="Arial" w:hAnsi="Arial"/>
          <w:sz w:val="24"/>
        </w:rPr>
        <w:t>Prepared for: The Property Squad, Inc.</w:t>
      </w:r>
    </w:p>
    <w:p>
      <w:pPr>
        <w:jc w:val="center"/>
      </w:pPr>
      <w:r>
        <w:rPr>
          <w:rFonts w:ascii="Arial" w:hAnsi="Arial"/>
          <w:sz w:val="24"/>
        </w:rPr>
        <w:t>Prepared by: Everest Capital USA</w:t>
      </w:r>
    </w:p>
    <w:p>
      <w:pPr>
        <w:jc w:val="center"/>
      </w:pPr>
      <w:r>
        <w:rPr>
          <w:rFonts w:ascii="Arial" w:hAnsi="Arial"/>
          <w:sz w:val="24"/>
        </w:rPr>
        <w:t>Date: February 6, 2026</w:t>
      </w:r>
    </w:p>
    <w:p>
      <w:pPr>
        <w:jc w:val="center"/>
      </w:pPr>
      <w:r>
        <w:rPr>
          <w:rFonts w:ascii="Arial" w:hAnsi="Arial"/>
          <w:sz w:val="24"/>
        </w:rPr>
      </w:r>
    </w:p>
    <w:p>
      <w:pPr>
        <w:jc w:val="center"/>
      </w:pPr>
      <w:r>
        <w:rPr>
          <w:rFonts w:ascii="Arial" w:hAnsi="Arial"/>
          <w:sz w:val="24"/>
        </w:rPr>
        <w:t>Project ID: SPD-2025-002</w:t>
      </w:r>
    </w:p>
    <w:p>
      <w:pPr>
        <w:jc w:val="center"/>
      </w:pPr>
      <w:r>
        <w:rPr>
          <w:rFonts w:ascii="Arial" w:hAnsi="Arial"/>
          <w:b/>
          <w:color w:val="CC0000"/>
          <w:sz w:val="24"/>
        </w:rPr>
        <w:t>Status: HOLD PENDING PUD REVIEW</w:t>
      </w:r>
    </w:p>
    <w:p>
      <w:r>
        <w:br w:type="page"/>
      </w:r>
    </w:p>
    <w:p>
      <w:pPr>
        <w:pStyle w:val="Heading1"/>
      </w:pPr>
      <w:r>
        <w:rPr>
          <w:rFonts w:ascii="Arial" w:hAnsi="Arial"/>
          <w:color w:val="1E3A5F"/>
        </w:rPr>
        <w:t>Table of Contents</w:t>
      </w:r>
    </w:p>
    <w:p>
      <w:r>
        <w:rPr>
          <w:rFonts w:ascii="Arial" w:hAnsi="Arial"/>
          <w:sz w:val="22"/>
        </w:rPr>
        <w:t>Executive Summary</w:t>
      </w:r>
    </w:p>
    <w:p>
      <w:r>
        <w:rPr>
          <w:rFonts w:ascii="Arial" w:hAnsi="Arial"/>
          <w:sz w:val="22"/>
        </w:rPr>
        <w:t>Section 1: Property Overview</w:t>
      </w:r>
    </w:p>
    <w:p>
      <w:r>
        <w:rPr>
          <w:rFonts w:ascii="Arial" w:hAnsi="Arial"/>
          <w:sz w:val="22"/>
        </w:rPr>
        <w:t>Section 2: Zoning &amp; Land Use</w:t>
      </w:r>
    </w:p>
    <w:p>
      <w:r>
        <w:rPr>
          <w:rFonts w:ascii="Arial" w:hAnsi="Arial"/>
          <w:sz w:val="22"/>
        </w:rPr>
        <w:t>Section 3: Site Analysis</w:t>
      </w:r>
    </w:p>
    <w:p>
      <w:r>
        <w:rPr>
          <w:rFonts w:ascii="Arial" w:hAnsi="Arial"/>
          <w:sz w:val="22"/>
        </w:rPr>
        <w:t>Section 4: Environmental Constraints</w:t>
      </w:r>
    </w:p>
    <w:p>
      <w:r>
        <w:rPr>
          <w:rFonts w:ascii="Arial" w:hAnsi="Arial"/>
          <w:sz w:val="22"/>
        </w:rPr>
        <w:t>Section 5: Infrastructure &amp; Utilities</w:t>
      </w:r>
    </w:p>
    <w:p>
      <w:r>
        <w:rPr>
          <w:rFonts w:ascii="Arial" w:hAnsi="Arial"/>
          <w:sz w:val="22"/>
        </w:rPr>
        <w:t>Section 6: Traffic &amp; Access</w:t>
      </w:r>
    </w:p>
    <w:p>
      <w:r>
        <w:rPr>
          <w:rFonts w:ascii="Arial" w:hAnsi="Arial"/>
          <w:sz w:val="22"/>
        </w:rPr>
        <w:t>Section 7: HOA &amp; CC&amp;R Analysis</w:t>
      </w:r>
    </w:p>
    <w:p>
      <w:r>
        <w:rPr>
          <w:rFonts w:ascii="Arial" w:hAnsi="Arial"/>
          <w:sz w:val="22"/>
        </w:rPr>
        <w:t>Section 8: Development Scenarios</w:t>
      </w:r>
    </w:p>
    <w:p>
      <w:r>
        <w:rPr>
          <w:rFonts w:ascii="Arial" w:hAnsi="Arial"/>
          <w:sz w:val="22"/>
        </w:rPr>
        <w:t>Section 9: Cost Estimate</w:t>
      </w:r>
    </w:p>
    <w:p>
      <w:r>
        <w:rPr>
          <w:rFonts w:ascii="Arial" w:hAnsi="Arial"/>
          <w:sz w:val="22"/>
        </w:rPr>
        <w:t>Section 10: Permit Roadmap</w:t>
      </w:r>
    </w:p>
    <w:p>
      <w:r>
        <w:rPr>
          <w:rFonts w:ascii="Arial" w:hAnsi="Arial"/>
          <w:sz w:val="22"/>
        </w:rPr>
        <w:t>Section 11: Risk Matrix</w:t>
      </w:r>
    </w:p>
    <w:p>
      <w:r>
        <w:rPr>
          <w:rFonts w:ascii="Arial" w:hAnsi="Arial"/>
          <w:sz w:val="22"/>
        </w:rPr>
        <w:t>Section 12: Recommendation</w:t>
      </w:r>
    </w:p>
    <w:p>
      <w:r>
        <w:br w:type="page"/>
      </w:r>
    </w:p>
    <w:p>
      <w:pPr>
        <w:pStyle w:val="Heading1"/>
      </w:pPr>
      <w:r>
        <w:rPr>
          <w:rFonts w:ascii="Arial" w:hAnsi="Arial"/>
          <w:color w:val="1E3A5F"/>
        </w:rPr>
        <w:t>Executive Summary</w:t>
      </w:r>
    </w:p>
    <w:p>
      <w:r>
        <w:rPr>
          <w:rFonts w:ascii="Arial" w:hAnsi="Arial"/>
          <w:b/>
          <w:color w:val="CC0000"/>
          <w:sz w:val="28"/>
        </w:rPr>
        <w:t>RECOMMENDATION: HOLD / CONDITIONAL NO-GO</w:t>
      </w:r>
    </w:p>
    <w:p>
      <w:r>
        <w:rPr>
          <w:rFonts w:ascii="Arial" w:hAnsi="Arial"/>
          <w:b w:val="0"/>
          <w:i w:val="0"/>
          <w:sz w:val="20"/>
        </w:rPr>
      </w:r>
    </w:p>
    <w:p>
      <w:r>
        <w:rPr>
          <w:rFonts w:ascii="Arial" w:hAnsi="Arial"/>
          <w:b w:val="0"/>
          <w:i w:val="0"/>
          <w:sz w:val="20"/>
        </w:rPr>
        <w:t>This feasibility report evaluates a proposed multifamily development on a 1.114-acre vacant parcel at 2165 Sandy Pines Drive NE, Palm Bay, Florida. The parcel is zoned PUD (Planned Unit Development) with a High Density Residential (HDR) future land use designation, theoretically supporting up to 20 dwelling units per acre (22 units maximum).</w:t>
      </w:r>
    </w:p>
    <w:p>
      <w:r>
        <w:rPr>
          <w:rFonts w:ascii="Arial" w:hAnsi="Arial"/>
          <w:b w:val="0"/>
          <w:i w:val="0"/>
          <w:sz w:val="20"/>
        </w:rPr>
      </w:r>
    </w:p>
    <w:p>
      <w:r>
        <w:rPr>
          <w:rFonts w:ascii="Arial" w:hAnsi="Arial"/>
          <w:b/>
          <w:i w:val="0"/>
          <w:sz w:val="20"/>
        </w:rPr>
        <w:t>Key Metrics:</w:t>
      </w:r>
    </w:p>
    <w:p>
      <w:pPr>
        <w:pStyle w:val="ListBullet"/>
      </w:pPr>
      <w:r>
        <w:rPr>
          <w:rFonts w:ascii="Arial" w:hAnsi="Arial"/>
          <w:b/>
          <w:sz w:val="20"/>
        </w:rPr>
        <w:t>Land Value:</w:t>
      </w:r>
      <w:r>
        <w:rPr>
          <w:rFonts w:ascii="Arial" w:hAnsi="Arial"/>
          <w:sz w:val="20"/>
        </w:rPr>
        <w:t xml:space="preserve"> $55,000 (BCPAO 2025 market value)</w:t>
      </w:r>
    </w:p>
    <w:p>
      <w:pPr>
        <w:pStyle w:val="ListBullet"/>
      </w:pPr>
      <w:r>
        <w:rPr>
          <w:rFonts w:ascii="Arial" w:hAnsi="Arial"/>
          <w:b/>
          <w:sz w:val="20"/>
        </w:rPr>
        <w:t>Acquisition Price:</w:t>
      </w:r>
      <w:r>
        <w:rPr>
          <w:rFonts w:ascii="Arial" w:hAnsi="Arial"/>
          <w:sz w:val="20"/>
        </w:rPr>
        <w:t xml:space="preserve"> $35,100 (tax deed, July 2023)</w:t>
      </w:r>
    </w:p>
    <w:p>
      <w:pPr>
        <w:pStyle w:val="ListBullet"/>
      </w:pPr>
      <w:r>
        <w:rPr>
          <w:rFonts w:ascii="Arial" w:hAnsi="Arial"/>
          <w:b/>
          <w:sz w:val="20"/>
        </w:rPr>
        <w:t>Gross Area:</w:t>
      </w:r>
      <w:r>
        <w:rPr>
          <w:rFonts w:ascii="Arial" w:hAnsi="Arial"/>
          <w:sz w:val="20"/>
        </w:rPr>
        <w:t xml:space="preserve"> 1.114 acres (48,516 SF) per survey traverse calculation</w:t>
      </w:r>
    </w:p>
    <w:p>
      <w:pPr>
        <w:pStyle w:val="ListBullet"/>
      </w:pPr>
      <w:r>
        <w:rPr>
          <w:rFonts w:ascii="Arial" w:hAnsi="Arial"/>
          <w:b/>
          <w:sz w:val="20"/>
        </w:rPr>
        <w:t>Net Buildable (3-story):</w:t>
      </w:r>
      <w:r>
        <w:rPr>
          <w:rFonts w:ascii="Arial" w:hAnsi="Arial"/>
          <w:sz w:val="20"/>
        </w:rPr>
        <w:t xml:space="preserve"> 11,325 SF (23.3%) after wellhead easement + setbacks</w:t>
      </w:r>
    </w:p>
    <w:p>
      <w:pPr>
        <w:pStyle w:val="ListBullet"/>
      </w:pPr>
      <w:r>
        <w:rPr>
          <w:rFonts w:ascii="Arial" w:hAnsi="Arial"/>
          <w:b/>
          <w:sz w:val="20"/>
        </w:rPr>
        <w:t>Maximum Density:</w:t>
      </w:r>
      <w:r>
        <w:rPr>
          <w:rFonts w:ascii="Arial" w:hAnsi="Arial"/>
          <w:sz w:val="20"/>
        </w:rPr>
        <w:t xml:space="preserve"> 22 units gross / 11 units net (after easement reduction)</w:t>
      </w:r>
    </w:p>
    <w:p>
      <w:pPr>
        <w:pStyle w:val="ListBullet"/>
      </w:pPr>
      <w:r>
        <w:rPr>
          <w:rFonts w:ascii="Arial" w:hAnsi="Arial"/>
          <w:b/>
          <w:sz w:val="20"/>
        </w:rPr>
        <w:t>Environmental Costs:</w:t>
      </w:r>
      <w:r>
        <w:rPr>
          <w:rFonts w:ascii="Arial" w:hAnsi="Arial"/>
          <w:sz w:val="20"/>
        </w:rPr>
        <w:t xml:space="preserve"> $77,000 - $203,000 (1.4x to 3.7x land value)</w:t>
      </w:r>
    </w:p>
    <w:p>
      <w:pPr>
        <w:pStyle w:val="ListBullet"/>
      </w:pPr>
      <w:r>
        <w:rPr>
          <w:rFonts w:ascii="Arial" w:hAnsi="Arial"/>
          <w:b/>
          <w:sz w:val="20"/>
        </w:rPr>
        <w:t>Total Development Cost:</w:t>
      </w:r>
      <w:r>
        <w:rPr>
          <w:rFonts w:ascii="Arial" w:hAnsi="Arial"/>
          <w:sz w:val="20"/>
        </w:rPr>
        <w:t xml:space="preserve"> $3.79M (11 units) / $7.26M (22 units)</w:t>
      </w:r>
    </w:p>
    <w:p>
      <w:pPr>
        <w:pStyle w:val="ListBullet"/>
      </w:pPr>
      <w:r>
        <w:rPr>
          <w:rFonts w:ascii="Arial" w:hAnsi="Arial"/>
          <w:b/>
          <w:sz w:val="20"/>
        </w:rPr>
        <w:t>Financial Feasibility:</w:t>
      </w:r>
      <w:r>
        <w:rPr>
          <w:rFonts w:ascii="Arial" w:hAnsi="Arial"/>
          <w:sz w:val="20"/>
        </w:rPr>
        <w:t xml:space="preserve"> NOT FEASIBLE — development cost exceeds stabilized value by ~2x</w:t>
      </w:r>
    </w:p>
    <w:p>
      <w:r>
        <w:rPr>
          <w:rFonts w:ascii="Arial" w:hAnsi="Arial"/>
          <w:b w:val="0"/>
          <w:i w:val="0"/>
          <w:sz w:val="20"/>
        </w:rPr>
      </w:r>
    </w:p>
    <w:p>
      <w:r>
        <w:rPr>
          <w:rFonts w:ascii="Arial" w:hAnsi="Arial"/>
          <w:b/>
          <w:i w:val="0"/>
          <w:sz w:val="20"/>
        </w:rPr>
        <w:t>Five Critical Constraints Identified:</w:t>
      </w:r>
    </w:p>
    <w:p>
      <w:pPr>
        <w:pStyle w:val="ListBullet"/>
      </w:pPr>
      <w:r>
        <w:rPr>
          <w:rFonts w:ascii="Arial" w:hAnsi="Arial"/>
          <w:b/>
          <w:sz w:val="20"/>
        </w:rPr>
        <w:t>1. HOA CC&amp;Rs (POTENTIAL FATAL):</w:t>
      </w:r>
      <w:r>
        <w:rPr>
          <w:rFonts w:ascii="Arial" w:hAnsi="Arial"/>
          <w:sz w:val="20"/>
        </w:rPr>
        <w:t xml:space="preserve"> Sandy Pines Preserve is a gated community of exclusively 1-2 story single-family homes. CC&amp;Rs almost certainly prohibit 3-4 story multifamily construction.</w:t>
      </w:r>
    </w:p>
    <w:p>
      <w:pPr>
        <w:pStyle w:val="ListBullet"/>
      </w:pPr>
      <w:r>
        <w:rPr>
          <w:rFonts w:ascii="Arial" w:hAnsi="Arial"/>
          <w:b/>
          <w:sz w:val="20"/>
        </w:rPr>
        <w:t>2. No Sewer/Water Available (HIGH):</w:t>
      </w:r>
      <w:r>
        <w:rPr>
          <w:rFonts w:ascii="Arial" w:hAnsi="Arial"/>
          <w:sz w:val="20"/>
        </w:rPr>
        <w:t xml:space="preserve"> Palm Bay GIS confirms no sewer or water service at parcel. Sewer extension required at developer cost.</w:t>
      </w:r>
    </w:p>
    <w:p>
      <w:pPr>
        <w:pStyle w:val="ListBullet"/>
      </w:pPr>
      <w:r>
        <w:rPr>
          <w:rFonts w:ascii="Arial" w:hAnsi="Arial"/>
          <w:b/>
          <w:sz w:val="20"/>
        </w:rPr>
        <w:t>3. FEMA Zone A Flood (HIGH):</w:t>
      </w:r>
      <w:r>
        <w:rPr>
          <w:rFonts w:ascii="Arial" w:hAnsi="Arial"/>
          <w:sz w:val="20"/>
        </w:rPr>
        <w:t xml:space="preserve"> Entire parcel in Special Flood Hazard Area with no BFE determined. Flood study required ($5K-$25K).</w:t>
      </w:r>
    </w:p>
    <w:p>
      <w:pPr>
        <w:pStyle w:val="ListBullet"/>
      </w:pPr>
      <w:r>
        <w:rPr>
          <w:rFonts w:ascii="Arial" w:hAnsi="Arial"/>
          <w:b/>
          <w:sz w:val="20"/>
        </w:rPr>
        <w:t>4. NWI Wetland PEM1Cd (HIGH):</w:t>
      </w:r>
      <w:r>
        <w:rPr>
          <w:rFonts w:ascii="Arial" w:hAnsi="Arial"/>
          <w:sz w:val="20"/>
        </w:rPr>
        <w:t xml:space="preserve"> 10.3-acre freshwater emergent wetland envelops parcel. Mitigation credits: $40K-$100K.</w:t>
      </w:r>
    </w:p>
    <w:p>
      <w:pPr>
        <w:pStyle w:val="ListBullet"/>
      </w:pPr>
      <w:r>
        <w:rPr>
          <w:rFonts w:ascii="Arial" w:hAnsi="Arial"/>
          <w:b/>
          <w:sz w:val="20"/>
        </w:rPr>
        <w:t>5. Wellhead Protection (HIGH):</w:t>
      </w:r>
      <w:r>
        <w:rPr>
          <w:rFonts w:ascii="Arial" w:hAnsi="Arial"/>
          <w:sz w:val="20"/>
        </w:rPr>
        <w:t xml:space="preserve"> 200-ft radius easement covers 47% of parcel. No construction in easement zone for ~10 years.</w:t>
      </w:r>
    </w:p>
    <w:p>
      <w:r>
        <w:rPr>
          <w:rFonts w:ascii="Arial" w:hAnsi="Arial"/>
          <w:b w:val="0"/>
          <w:i w:val="0"/>
          <w:sz w:val="20"/>
        </w:rPr>
      </w:r>
    </w:p>
    <w:p>
      <w:r>
        <w:rPr>
          <w:rFonts w:ascii="Arial" w:hAnsi="Arial"/>
          <w:b w:val="0"/>
          <w:i w:val="0"/>
          <w:sz w:val="20"/>
        </w:rPr>
        <w:t>The combination of five overlapping constraints makes multifamily development economically infeasible at current market conditions. Environmental compliance costs alone ($77K-$203K) exceed the land value ($55K). Total development cost for an 11-unit project ($3.79M) is approximately double the stabilized property value ($1.93M at a 6% cap rate). The project should be placed on HOLD pending CC&amp;R retrieval and PUD ordinance review. If CC&amp;Rs prohibit multifamily, the project should be KILLED for the intended use.</w:t>
      </w:r>
    </w:p>
    <w:p>
      <w:r>
        <w:br w:type="page"/>
      </w:r>
    </w:p>
    <w:p>
      <w:pPr>
        <w:pStyle w:val="Heading1"/>
      </w:pPr>
      <w:r>
        <w:rPr>
          <w:rFonts w:ascii="Arial" w:hAnsi="Arial"/>
          <w:color w:val="1E3A5F"/>
        </w:rPr>
        <w:t>Section 1: Property Overview</w:t>
      </w:r>
    </w:p>
    <w:p>
      <w:r>
        <w:rPr>
          <w:rFonts w:ascii="Arial" w:hAnsi="Arial"/>
          <w:b/>
          <w:i w:val="0"/>
          <w:sz w:val="20"/>
        </w:rPr>
        <w:t>Location &amp; Legal Description</w:t>
      </w:r>
    </w:p>
    <w:tbl>
      <w:tblPr>
        <w:tblStyle w:val="TableGrid"/>
        <w:tblW w:type="auto" w:w="0"/>
        <w:jc w:val="center"/>
        <w:tblLook w:firstColumn="1" w:firstRow="1" w:lastColumn="0" w:lastRow="0" w:noHBand="0" w:noVBand="1" w:val="04A0"/>
      </w:tblPr>
      <w:tblGrid>
        <w:gridCol w:w="4703"/>
        <w:gridCol w:w="4703"/>
      </w:tblGrid>
      <w:tr>
        <w:tc>
          <w:tcPr>
            <w:tcW w:type="dxa" w:w="2880"/>
            <w:shd w:fill="1E3A5F" w:val="clear"/>
          </w:tcPr>
          <w:p>
            <w:pPr>
              <w:jc w:val="center"/>
            </w:pPr>
            <w:r>
              <w:rPr>
                <w:rFonts w:ascii="Arial" w:hAnsi="Arial"/>
                <w:b/>
                <w:color w:val="FFFFFF"/>
                <w:sz w:val="18"/>
              </w:rPr>
            </w:r>
            <w:r>
              <w:rPr>
                <w:rFonts w:ascii="Arial" w:hAnsi="Arial"/>
                <w:b/>
                <w:color w:val="FFFFFF"/>
                <w:sz w:val="18"/>
              </w:rPr>
              <w:t>Field</w:t>
            </w:r>
          </w:p>
        </w:tc>
        <w:tc>
          <w:tcPr>
            <w:tcW w:type="dxa" w:w="7200"/>
            <w:shd w:fill="1E3A5F" w:val="clear"/>
          </w:tcPr>
          <w:p>
            <w:pPr>
              <w:jc w:val="center"/>
            </w:pPr>
            <w:r>
              <w:rPr>
                <w:rFonts w:ascii="Arial" w:hAnsi="Arial"/>
                <w:b/>
                <w:color w:val="FFFFFF"/>
                <w:sz w:val="18"/>
              </w:rPr>
            </w:r>
            <w:r>
              <w:rPr>
                <w:rFonts w:ascii="Arial" w:hAnsi="Arial"/>
                <w:b/>
                <w:color w:val="FFFFFF"/>
                <w:sz w:val="18"/>
              </w:rPr>
              <w:t>Value</w:t>
            </w:r>
          </w:p>
        </w:tc>
      </w:tr>
      <w:tr>
        <w:tc>
          <w:tcPr>
            <w:tcW w:type="dxa" w:w="2880"/>
          </w:tcPr>
          <w:p>
            <w:pPr>
              <w:jc w:val="left"/>
            </w:pPr>
            <w:r/>
            <w:r>
              <w:rPr>
                <w:rFonts w:ascii="Arial" w:hAnsi="Arial"/>
                <w:b w:val="0"/>
                <w:sz w:val="18"/>
              </w:rPr>
              <w:t>Address</w:t>
            </w:r>
          </w:p>
        </w:tc>
        <w:tc>
          <w:tcPr>
            <w:tcW w:type="dxa" w:w="7200"/>
          </w:tcPr>
          <w:p>
            <w:pPr>
              <w:jc w:val="left"/>
            </w:pPr>
            <w:r/>
            <w:r>
              <w:rPr>
                <w:rFonts w:ascii="Arial" w:hAnsi="Arial"/>
                <w:b w:val="0"/>
                <w:sz w:val="18"/>
              </w:rPr>
              <w:t>2165 Sandy Pines Drive NE, Palm Bay, FL 32905</w:t>
            </w:r>
          </w:p>
        </w:tc>
      </w:tr>
      <w:tr>
        <w:tc>
          <w:tcPr>
            <w:tcW w:type="dxa" w:w="2880"/>
            <w:shd w:fill="F2F2F2" w:val="clear"/>
          </w:tcPr>
          <w:p>
            <w:pPr>
              <w:jc w:val="left"/>
            </w:pPr>
            <w:r/>
            <w:r>
              <w:rPr>
                <w:rFonts w:ascii="Arial" w:hAnsi="Arial"/>
                <w:b w:val="0"/>
                <w:sz w:val="18"/>
              </w:rPr>
              <w:t>Parcel ID</w:t>
            </w:r>
          </w:p>
        </w:tc>
        <w:tc>
          <w:tcPr>
            <w:tcW w:type="dxa" w:w="7200"/>
            <w:shd w:fill="F2F2F2" w:val="clear"/>
          </w:tcPr>
          <w:p>
            <w:pPr>
              <w:jc w:val="left"/>
            </w:pPr>
            <w:r/>
            <w:r>
              <w:rPr>
                <w:rFonts w:ascii="Arial" w:hAnsi="Arial"/>
                <w:b w:val="0"/>
                <w:sz w:val="18"/>
              </w:rPr>
              <w:t>28-37-27-00-7</w:t>
            </w:r>
          </w:p>
        </w:tc>
      </w:tr>
      <w:tr>
        <w:tc>
          <w:tcPr>
            <w:tcW w:type="dxa" w:w="2880"/>
          </w:tcPr>
          <w:p>
            <w:pPr>
              <w:jc w:val="left"/>
            </w:pPr>
            <w:r/>
            <w:r>
              <w:rPr>
                <w:rFonts w:ascii="Arial" w:hAnsi="Arial"/>
                <w:b w:val="0"/>
                <w:sz w:val="18"/>
              </w:rPr>
              <w:t>BCPAO Account</w:t>
            </w:r>
          </w:p>
        </w:tc>
        <w:tc>
          <w:tcPr>
            <w:tcW w:type="dxa" w:w="7200"/>
          </w:tcPr>
          <w:p>
            <w:pPr>
              <w:jc w:val="left"/>
            </w:pPr>
            <w:r/>
            <w:r>
              <w:rPr>
                <w:rFonts w:ascii="Arial" w:hAnsi="Arial"/>
                <w:b w:val="0"/>
                <w:sz w:val="18"/>
              </w:rPr>
              <w:t>2835546</w:t>
            </w:r>
          </w:p>
        </w:tc>
      </w:tr>
      <w:tr>
        <w:tc>
          <w:tcPr>
            <w:tcW w:type="dxa" w:w="2880"/>
            <w:shd w:fill="F2F2F2" w:val="clear"/>
          </w:tcPr>
          <w:p>
            <w:pPr>
              <w:jc w:val="left"/>
            </w:pPr>
            <w:r/>
            <w:r>
              <w:rPr>
                <w:rFonts w:ascii="Arial" w:hAnsi="Arial"/>
                <w:b w:val="0"/>
                <w:sz w:val="18"/>
              </w:rPr>
              <w:t>Legal Description</w:t>
            </w:r>
          </w:p>
        </w:tc>
        <w:tc>
          <w:tcPr>
            <w:tcW w:type="dxa" w:w="7200"/>
            <w:shd w:fill="F2F2F2" w:val="clear"/>
          </w:tcPr>
          <w:p>
            <w:pPr>
              <w:jc w:val="left"/>
            </w:pPr>
            <w:r/>
            <w:r>
              <w:rPr>
                <w:rFonts w:ascii="Arial" w:hAnsi="Arial"/>
                <w:b w:val="0"/>
                <w:sz w:val="18"/>
              </w:rPr>
              <w:t>E 1/2 of S 1/2 of NE 1/4 of Section 27, T28S, R37E, less E 83 ft</w:t>
            </w:r>
          </w:p>
        </w:tc>
      </w:tr>
      <w:tr>
        <w:tc>
          <w:tcPr>
            <w:tcW w:type="dxa" w:w="2880"/>
          </w:tcPr>
          <w:p>
            <w:pPr>
              <w:jc w:val="left"/>
            </w:pPr>
            <w:r/>
            <w:r>
              <w:rPr>
                <w:rFonts w:ascii="Arial" w:hAnsi="Arial"/>
                <w:b w:val="0"/>
                <w:sz w:val="18"/>
              </w:rPr>
              <w:t>Plat References</w:t>
            </w:r>
          </w:p>
        </w:tc>
        <w:tc>
          <w:tcPr>
            <w:tcW w:type="dxa" w:w="7200"/>
          </w:tcPr>
          <w:p>
            <w:pPr>
              <w:jc w:val="left"/>
            </w:pPr>
            <w:r/>
            <w:r>
              <w:rPr>
                <w:rFonts w:ascii="Arial" w:hAnsi="Arial"/>
                <w:b w:val="0"/>
                <w:sz w:val="18"/>
              </w:rPr>
              <w:t>PB 32/78, ORB 3636/2327, ORB 3731/2000</w:t>
            </w:r>
          </w:p>
        </w:tc>
      </w:tr>
      <w:tr>
        <w:tc>
          <w:tcPr>
            <w:tcW w:type="dxa" w:w="2880"/>
            <w:shd w:fill="F2F2F2" w:val="clear"/>
          </w:tcPr>
          <w:p>
            <w:pPr>
              <w:jc w:val="left"/>
            </w:pPr>
            <w:r/>
            <w:r>
              <w:rPr>
                <w:rFonts w:ascii="Arial" w:hAnsi="Arial"/>
                <w:b w:val="0"/>
                <w:sz w:val="18"/>
              </w:rPr>
              <w:t>Jurisdiction</w:t>
            </w:r>
          </w:p>
        </w:tc>
        <w:tc>
          <w:tcPr>
            <w:tcW w:type="dxa" w:w="7200"/>
            <w:shd w:fill="F2F2F2" w:val="clear"/>
          </w:tcPr>
          <w:p>
            <w:pPr>
              <w:jc w:val="left"/>
            </w:pPr>
            <w:r/>
            <w:r>
              <w:rPr>
                <w:rFonts w:ascii="Arial" w:hAnsi="Arial"/>
                <w:b w:val="0"/>
                <w:sz w:val="18"/>
              </w:rPr>
              <w:t>City of Palm Bay, Brevard County, Florida</w:t>
            </w:r>
          </w:p>
        </w:tc>
      </w:tr>
      <w:tr>
        <w:tc>
          <w:tcPr>
            <w:tcW w:type="dxa" w:w="2880"/>
          </w:tcPr>
          <w:p>
            <w:pPr>
              <w:jc w:val="left"/>
            </w:pPr>
            <w:r/>
            <w:r>
              <w:rPr>
                <w:rFonts w:ascii="Arial" w:hAnsi="Arial"/>
                <w:b w:val="0"/>
                <w:sz w:val="18"/>
              </w:rPr>
              <w:t>Millage Code</w:t>
            </w:r>
          </w:p>
        </w:tc>
        <w:tc>
          <w:tcPr>
            <w:tcW w:type="dxa" w:w="7200"/>
          </w:tcPr>
          <w:p>
            <w:pPr>
              <w:jc w:val="left"/>
            </w:pPr>
            <w:r/>
            <w:r>
              <w:rPr>
                <w:rFonts w:ascii="Arial" w:hAnsi="Arial"/>
                <w:b w:val="0"/>
                <w:sz w:val="18"/>
              </w:rPr>
              <w:t>34U0 (Palm Bay)</w:t>
            </w:r>
          </w:p>
        </w:tc>
      </w:tr>
    </w:tbl>
    <w:p>
      <w:r>
        <w:rPr>
          <w:rFonts w:ascii="Arial" w:hAnsi="Arial"/>
          <w:b w:val="0"/>
          <w:i w:val="0"/>
          <w:sz w:val="20"/>
        </w:rPr>
      </w:r>
    </w:p>
    <w:p>
      <w:r>
        <w:rPr>
          <w:rFonts w:ascii="Arial" w:hAnsi="Arial"/>
          <w:b/>
          <w:i w:val="0"/>
          <w:sz w:val="20"/>
        </w:rPr>
        <w:t>Ownership</w:t>
      </w:r>
    </w:p>
    <w:tbl>
      <w:tblPr>
        <w:tblStyle w:val="TableGrid"/>
        <w:tblW w:type="auto" w:w="0"/>
        <w:jc w:val="center"/>
        <w:tblLook w:firstColumn="1" w:firstRow="1" w:lastColumn="0" w:lastRow="0" w:noHBand="0" w:noVBand="1" w:val="04A0"/>
      </w:tblPr>
      <w:tblGrid>
        <w:gridCol w:w="4703"/>
        <w:gridCol w:w="4703"/>
      </w:tblGrid>
      <w:tr>
        <w:tc>
          <w:tcPr>
            <w:tcW w:type="dxa" w:w="2880"/>
            <w:shd w:fill="1E3A5F" w:val="clear"/>
          </w:tcPr>
          <w:p>
            <w:pPr>
              <w:jc w:val="center"/>
            </w:pPr>
            <w:r>
              <w:rPr>
                <w:rFonts w:ascii="Arial" w:hAnsi="Arial"/>
                <w:b/>
                <w:color w:val="FFFFFF"/>
                <w:sz w:val="18"/>
              </w:rPr>
            </w:r>
            <w:r>
              <w:rPr>
                <w:rFonts w:ascii="Arial" w:hAnsi="Arial"/>
                <w:b/>
                <w:color w:val="FFFFFF"/>
                <w:sz w:val="18"/>
              </w:rPr>
              <w:t>Field</w:t>
            </w:r>
          </w:p>
        </w:tc>
        <w:tc>
          <w:tcPr>
            <w:tcW w:type="dxa" w:w="7200"/>
            <w:shd w:fill="1E3A5F" w:val="clear"/>
          </w:tcPr>
          <w:p>
            <w:pPr>
              <w:jc w:val="center"/>
            </w:pPr>
            <w:r>
              <w:rPr>
                <w:rFonts w:ascii="Arial" w:hAnsi="Arial"/>
                <w:b/>
                <w:color w:val="FFFFFF"/>
                <w:sz w:val="18"/>
              </w:rPr>
            </w:r>
            <w:r>
              <w:rPr>
                <w:rFonts w:ascii="Arial" w:hAnsi="Arial"/>
                <w:b/>
                <w:color w:val="FFFFFF"/>
                <w:sz w:val="18"/>
              </w:rPr>
              <w:t>Value</w:t>
            </w:r>
          </w:p>
        </w:tc>
      </w:tr>
      <w:tr>
        <w:tc>
          <w:tcPr>
            <w:tcW w:type="dxa" w:w="2880"/>
          </w:tcPr>
          <w:p>
            <w:pPr>
              <w:jc w:val="left"/>
            </w:pPr>
            <w:r/>
            <w:r>
              <w:rPr>
                <w:rFonts w:ascii="Arial" w:hAnsi="Arial"/>
                <w:b w:val="0"/>
                <w:sz w:val="18"/>
              </w:rPr>
              <w:t>Current Owner</w:t>
            </w:r>
          </w:p>
        </w:tc>
        <w:tc>
          <w:tcPr>
            <w:tcW w:type="dxa" w:w="7200"/>
          </w:tcPr>
          <w:p>
            <w:pPr>
              <w:jc w:val="left"/>
            </w:pPr>
            <w:r/>
            <w:r>
              <w:rPr>
                <w:rFonts w:ascii="Arial" w:hAnsi="Arial"/>
                <w:b w:val="0"/>
                <w:sz w:val="18"/>
              </w:rPr>
              <w:t>The Property Squad, Inc.</w:t>
            </w:r>
          </w:p>
        </w:tc>
      </w:tr>
      <w:tr>
        <w:tc>
          <w:tcPr>
            <w:tcW w:type="dxa" w:w="2880"/>
            <w:shd w:fill="F2F2F2" w:val="clear"/>
          </w:tcPr>
          <w:p>
            <w:pPr>
              <w:jc w:val="left"/>
            </w:pPr>
            <w:r/>
            <w:r>
              <w:rPr>
                <w:rFonts w:ascii="Arial" w:hAnsi="Arial"/>
                <w:b w:val="0"/>
                <w:sz w:val="18"/>
              </w:rPr>
              <w:t>Owner Type</w:t>
            </w:r>
          </w:p>
        </w:tc>
        <w:tc>
          <w:tcPr>
            <w:tcW w:type="dxa" w:w="7200"/>
            <w:shd w:fill="F2F2F2" w:val="clear"/>
          </w:tcPr>
          <w:p>
            <w:pPr>
              <w:jc w:val="left"/>
            </w:pPr>
            <w:r/>
            <w:r>
              <w:rPr>
                <w:rFonts w:ascii="Arial" w:hAnsi="Arial"/>
                <w:b w:val="0"/>
                <w:sz w:val="18"/>
              </w:rPr>
              <w:t>Florida Corporation</w:t>
            </w:r>
          </w:p>
        </w:tc>
      </w:tr>
      <w:tr>
        <w:tc>
          <w:tcPr>
            <w:tcW w:type="dxa" w:w="2880"/>
          </w:tcPr>
          <w:p>
            <w:pPr>
              <w:jc w:val="left"/>
            </w:pPr>
            <w:r/>
            <w:r>
              <w:rPr>
                <w:rFonts w:ascii="Arial" w:hAnsi="Arial"/>
                <w:b w:val="0"/>
                <w:sz w:val="18"/>
              </w:rPr>
              <w:t>Mailing Address</w:t>
            </w:r>
          </w:p>
        </w:tc>
        <w:tc>
          <w:tcPr>
            <w:tcW w:type="dxa" w:w="7200"/>
          </w:tcPr>
          <w:p>
            <w:pPr>
              <w:jc w:val="left"/>
            </w:pPr>
            <w:r/>
            <w:r>
              <w:rPr>
                <w:rFonts w:ascii="Arial" w:hAnsi="Arial"/>
                <w:b w:val="0"/>
                <w:sz w:val="18"/>
              </w:rPr>
              <w:t>390 Roosevelt Ave, Satellite Beach, FL 32937</w:t>
            </w:r>
          </w:p>
        </w:tc>
      </w:tr>
      <w:tr>
        <w:tc>
          <w:tcPr>
            <w:tcW w:type="dxa" w:w="2880"/>
            <w:shd w:fill="F2F2F2" w:val="clear"/>
          </w:tcPr>
          <w:p>
            <w:pPr>
              <w:jc w:val="left"/>
            </w:pPr>
            <w:r/>
            <w:r>
              <w:rPr>
                <w:rFonts w:ascii="Arial" w:hAnsi="Arial"/>
                <w:b w:val="0"/>
                <w:sz w:val="18"/>
              </w:rPr>
              <w:t>Acquisition Date</w:t>
            </w:r>
          </w:p>
        </w:tc>
        <w:tc>
          <w:tcPr>
            <w:tcW w:type="dxa" w:w="7200"/>
            <w:shd w:fill="F2F2F2" w:val="clear"/>
          </w:tcPr>
          <w:p>
            <w:pPr>
              <w:jc w:val="left"/>
            </w:pPr>
            <w:r/>
            <w:r>
              <w:rPr>
                <w:rFonts w:ascii="Arial" w:hAnsi="Arial"/>
                <w:b w:val="0"/>
                <w:sz w:val="18"/>
              </w:rPr>
              <w:t>July 24, 2023</w:t>
            </w:r>
          </w:p>
        </w:tc>
      </w:tr>
      <w:tr>
        <w:tc>
          <w:tcPr>
            <w:tcW w:type="dxa" w:w="2880"/>
          </w:tcPr>
          <w:p>
            <w:pPr>
              <w:jc w:val="left"/>
            </w:pPr>
            <w:r/>
            <w:r>
              <w:rPr>
                <w:rFonts w:ascii="Arial" w:hAnsi="Arial"/>
                <w:b w:val="0"/>
                <w:sz w:val="18"/>
              </w:rPr>
              <w:t>Acquisition Price</w:t>
            </w:r>
          </w:p>
        </w:tc>
        <w:tc>
          <w:tcPr>
            <w:tcW w:type="dxa" w:w="7200"/>
          </w:tcPr>
          <w:p>
            <w:pPr>
              <w:jc w:val="left"/>
            </w:pPr>
            <w:r/>
            <w:r>
              <w:rPr>
                <w:rFonts w:ascii="Arial" w:hAnsi="Arial"/>
                <w:b w:val="0"/>
                <w:sz w:val="18"/>
              </w:rPr>
              <w:t>$35,100</w:t>
            </w:r>
          </w:p>
        </w:tc>
      </w:tr>
      <w:tr>
        <w:tc>
          <w:tcPr>
            <w:tcW w:type="dxa" w:w="2880"/>
            <w:shd w:fill="F2F2F2" w:val="clear"/>
          </w:tcPr>
          <w:p>
            <w:pPr>
              <w:jc w:val="left"/>
            </w:pPr>
            <w:r/>
            <w:r>
              <w:rPr>
                <w:rFonts w:ascii="Arial" w:hAnsi="Arial"/>
                <w:b w:val="0"/>
                <w:sz w:val="18"/>
              </w:rPr>
              <w:t>Deed Type</w:t>
            </w:r>
          </w:p>
        </w:tc>
        <w:tc>
          <w:tcPr>
            <w:tcW w:type="dxa" w:w="7200"/>
            <w:shd w:fill="F2F2F2" w:val="clear"/>
          </w:tcPr>
          <w:p>
            <w:pPr>
              <w:jc w:val="left"/>
            </w:pPr>
            <w:r/>
            <w:r>
              <w:rPr>
                <w:rFonts w:ascii="Arial" w:hAnsi="Arial"/>
                <w:b w:val="0"/>
                <w:sz w:val="18"/>
              </w:rPr>
              <w:t>Tax Deed (XD) — Book 9844, Page 0688</w:t>
            </w:r>
          </w:p>
        </w:tc>
      </w:tr>
      <w:tr>
        <w:tc>
          <w:tcPr>
            <w:tcW w:type="dxa" w:w="2880"/>
          </w:tcPr>
          <w:p>
            <w:pPr>
              <w:jc w:val="left"/>
            </w:pPr>
            <w:r/>
            <w:r>
              <w:rPr>
                <w:rFonts w:ascii="Arial" w:hAnsi="Arial"/>
                <w:b w:val="0"/>
                <w:sz w:val="18"/>
              </w:rPr>
              <w:t>2025 Market Value</w:t>
            </w:r>
          </w:p>
        </w:tc>
        <w:tc>
          <w:tcPr>
            <w:tcW w:type="dxa" w:w="7200"/>
          </w:tcPr>
          <w:p>
            <w:pPr>
              <w:jc w:val="left"/>
            </w:pPr>
            <w:r/>
            <w:r>
              <w:rPr>
                <w:rFonts w:ascii="Arial" w:hAnsi="Arial"/>
                <w:b w:val="0"/>
                <w:sz w:val="18"/>
              </w:rPr>
              <w:t>$55,000</w:t>
            </w:r>
          </w:p>
        </w:tc>
      </w:tr>
      <w:tr>
        <w:tc>
          <w:tcPr>
            <w:tcW w:type="dxa" w:w="2880"/>
            <w:shd w:fill="F2F2F2" w:val="clear"/>
          </w:tcPr>
          <w:p>
            <w:pPr>
              <w:jc w:val="left"/>
            </w:pPr>
            <w:r/>
            <w:r>
              <w:rPr>
                <w:rFonts w:ascii="Arial" w:hAnsi="Arial"/>
                <w:b w:val="0"/>
                <w:sz w:val="18"/>
              </w:rPr>
              <w:t>2025 Taxable Value</w:t>
            </w:r>
          </w:p>
        </w:tc>
        <w:tc>
          <w:tcPr>
            <w:tcW w:type="dxa" w:w="7200"/>
            <w:shd w:fill="F2F2F2" w:val="clear"/>
          </w:tcPr>
          <w:p>
            <w:pPr>
              <w:jc w:val="left"/>
            </w:pPr>
            <w:r/>
            <w:r>
              <w:rPr>
                <w:rFonts w:ascii="Arial" w:hAnsi="Arial"/>
                <w:b w:val="0"/>
                <w:sz w:val="18"/>
              </w:rPr>
              <w:t>$55,000</w:t>
            </w:r>
          </w:p>
        </w:tc>
      </w:tr>
      <w:tr>
        <w:tc>
          <w:tcPr>
            <w:tcW w:type="dxa" w:w="2880"/>
          </w:tcPr>
          <w:p>
            <w:pPr>
              <w:jc w:val="left"/>
            </w:pPr>
            <w:r/>
            <w:r>
              <w:rPr>
                <w:rFonts w:ascii="Arial" w:hAnsi="Arial"/>
                <w:b w:val="0"/>
                <w:sz w:val="18"/>
              </w:rPr>
              <w:t>Property Use Code</w:t>
            </w:r>
          </w:p>
        </w:tc>
        <w:tc>
          <w:tcPr>
            <w:tcW w:type="dxa" w:w="7200"/>
          </w:tcPr>
          <w:p>
            <w:pPr>
              <w:jc w:val="left"/>
            </w:pPr>
            <w:r/>
            <w:r>
              <w:rPr>
                <w:rFonts w:ascii="Arial" w:hAnsi="Arial"/>
                <w:b w:val="0"/>
                <w:sz w:val="18"/>
              </w:rPr>
              <w:t>0008 — Vacant Residential (Multi-Family, Unplatted)</w:t>
            </w:r>
          </w:p>
        </w:tc>
      </w:tr>
      <w:tr>
        <w:tc>
          <w:tcPr>
            <w:tcW w:type="dxa" w:w="2880"/>
            <w:shd w:fill="F2F2F2" w:val="clear"/>
          </w:tcPr>
          <w:p>
            <w:pPr>
              <w:jc w:val="left"/>
            </w:pPr>
            <w:r/>
            <w:r>
              <w:rPr>
                <w:rFonts w:ascii="Arial" w:hAnsi="Arial"/>
                <w:b w:val="0"/>
                <w:sz w:val="18"/>
              </w:rPr>
              <w:t>Total Buildings</w:t>
            </w:r>
          </w:p>
        </w:tc>
        <w:tc>
          <w:tcPr>
            <w:tcW w:type="dxa" w:w="7200"/>
            <w:shd w:fill="F2F2F2" w:val="clear"/>
          </w:tcPr>
          <w:p>
            <w:pPr>
              <w:jc w:val="left"/>
            </w:pPr>
            <w:r/>
            <w:r>
              <w:rPr>
                <w:rFonts w:ascii="Arial" w:hAnsi="Arial"/>
                <w:b w:val="0"/>
                <w:sz w:val="18"/>
              </w:rPr>
              <w:t>0 (vacant land)</w:t>
            </w:r>
          </w:p>
        </w:tc>
      </w:tr>
    </w:tbl>
    <w:p>
      <w:r>
        <w:rPr>
          <w:rFonts w:ascii="Arial" w:hAnsi="Arial"/>
          <w:b w:val="0"/>
          <w:i w:val="0"/>
          <w:sz w:val="20"/>
        </w:rPr>
      </w:r>
    </w:p>
    <w:p>
      <w:r>
        <w:rPr>
          <w:rFonts w:ascii="Arial" w:hAnsi="Arial"/>
          <w:b/>
          <w:i w:val="0"/>
          <w:sz w:val="20"/>
        </w:rPr>
        <w:t>Sales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1E3A5F" w:val="clear"/>
          </w:tcPr>
          <w:p>
            <w:pPr>
              <w:jc w:val="center"/>
            </w:pPr>
            <w:r>
              <w:rPr>
                <w:rFonts w:ascii="Arial" w:hAnsi="Arial"/>
                <w:b/>
                <w:color w:val="FFFFFF"/>
                <w:sz w:val="18"/>
              </w:rPr>
            </w:r>
            <w:r>
              <w:rPr>
                <w:rFonts w:ascii="Arial" w:hAnsi="Arial"/>
                <w:b/>
                <w:color w:val="FFFFFF"/>
                <w:sz w:val="18"/>
              </w:rPr>
              <w:t>Date</w:t>
            </w:r>
          </w:p>
        </w:tc>
        <w:tc>
          <w:tcPr>
            <w:tcW w:type="dxa" w:w="1728"/>
            <w:shd w:fill="1E3A5F" w:val="clear"/>
          </w:tcPr>
          <w:p>
            <w:pPr>
              <w:jc w:val="center"/>
            </w:pPr>
            <w:r>
              <w:rPr>
                <w:rFonts w:ascii="Arial" w:hAnsi="Arial"/>
                <w:b/>
                <w:color w:val="FFFFFF"/>
                <w:sz w:val="18"/>
              </w:rPr>
            </w:r>
            <w:r>
              <w:rPr>
                <w:rFonts w:ascii="Arial" w:hAnsi="Arial"/>
                <w:b/>
                <w:color w:val="FFFFFF"/>
                <w:sz w:val="18"/>
              </w:rPr>
              <w:t>Price</w:t>
            </w:r>
          </w:p>
        </w:tc>
        <w:tc>
          <w:tcPr>
            <w:tcW w:type="dxa" w:w="2592"/>
            <w:shd w:fill="1E3A5F" w:val="clear"/>
          </w:tcPr>
          <w:p>
            <w:pPr>
              <w:jc w:val="center"/>
            </w:pPr>
            <w:r>
              <w:rPr>
                <w:rFonts w:ascii="Arial" w:hAnsi="Arial"/>
                <w:b/>
                <w:color w:val="FFFFFF"/>
                <w:sz w:val="18"/>
              </w:rPr>
            </w:r>
            <w:r>
              <w:rPr>
                <w:rFonts w:ascii="Arial" w:hAnsi="Arial"/>
                <w:b/>
                <w:color w:val="FFFFFF"/>
                <w:sz w:val="18"/>
              </w:rPr>
              <w:t>Deed Type</w:t>
            </w:r>
          </w:p>
        </w:tc>
        <w:tc>
          <w:tcPr>
            <w:tcW w:type="dxa" w:w="3600"/>
            <w:shd w:fill="1E3A5F" w:val="clear"/>
          </w:tcPr>
          <w:p>
            <w:pPr>
              <w:jc w:val="center"/>
            </w:pPr>
            <w:r>
              <w:rPr>
                <w:rFonts w:ascii="Arial" w:hAnsi="Arial"/>
                <w:b/>
                <w:color w:val="FFFFFF"/>
                <w:sz w:val="18"/>
              </w:rPr>
            </w:r>
            <w:r>
              <w:rPr>
                <w:rFonts w:ascii="Arial" w:hAnsi="Arial"/>
                <w:b/>
                <w:color w:val="FFFFFF"/>
                <w:sz w:val="18"/>
              </w:rPr>
              <w:t>Recording</w:t>
            </w:r>
          </w:p>
        </w:tc>
      </w:tr>
      <w:tr>
        <w:tc>
          <w:tcPr>
            <w:tcW w:type="dxa" w:w="2160"/>
          </w:tcPr>
          <w:p>
            <w:pPr>
              <w:jc w:val="left"/>
            </w:pPr>
            <w:r/>
            <w:r>
              <w:rPr>
                <w:rFonts w:ascii="Arial" w:hAnsi="Arial"/>
                <w:b w:val="0"/>
                <w:sz w:val="18"/>
              </w:rPr>
              <w:t>07/24/2023</w:t>
            </w:r>
          </w:p>
        </w:tc>
        <w:tc>
          <w:tcPr>
            <w:tcW w:type="dxa" w:w="1728"/>
          </w:tcPr>
          <w:p>
            <w:pPr>
              <w:jc w:val="left"/>
            </w:pPr>
            <w:r/>
            <w:r>
              <w:rPr>
                <w:rFonts w:ascii="Arial" w:hAnsi="Arial"/>
                <w:b w:val="0"/>
                <w:sz w:val="18"/>
              </w:rPr>
              <w:t>$35,100</w:t>
            </w:r>
          </w:p>
        </w:tc>
        <w:tc>
          <w:tcPr>
            <w:tcW w:type="dxa" w:w="2592"/>
          </w:tcPr>
          <w:p>
            <w:pPr>
              <w:jc w:val="left"/>
            </w:pPr>
            <w:r/>
            <w:r>
              <w:rPr>
                <w:rFonts w:ascii="Arial" w:hAnsi="Arial"/>
                <w:b w:val="0"/>
                <w:sz w:val="18"/>
              </w:rPr>
              <w:t>Tax Deed (XD)</w:t>
            </w:r>
          </w:p>
        </w:tc>
        <w:tc>
          <w:tcPr>
            <w:tcW w:type="dxa" w:w="3600"/>
          </w:tcPr>
          <w:p>
            <w:pPr>
              <w:jc w:val="left"/>
            </w:pPr>
            <w:r/>
            <w:r>
              <w:rPr>
                <w:rFonts w:ascii="Arial" w:hAnsi="Arial"/>
                <w:b w:val="0"/>
                <w:sz w:val="18"/>
              </w:rPr>
              <w:t>Book 9844/Page 0688</w:t>
            </w:r>
          </w:p>
        </w:tc>
      </w:tr>
      <w:tr>
        <w:tc>
          <w:tcPr>
            <w:tcW w:type="dxa" w:w="2160"/>
            <w:shd w:fill="F2F2F2" w:val="clear"/>
          </w:tcPr>
          <w:p>
            <w:pPr>
              <w:jc w:val="left"/>
            </w:pPr>
            <w:r/>
            <w:r>
              <w:rPr>
                <w:rFonts w:ascii="Arial" w:hAnsi="Arial"/>
                <w:b w:val="0"/>
                <w:sz w:val="18"/>
              </w:rPr>
              <w:t>06/30/2011</w:t>
            </w:r>
          </w:p>
        </w:tc>
        <w:tc>
          <w:tcPr>
            <w:tcW w:type="dxa" w:w="1728"/>
            <w:shd w:fill="F2F2F2" w:val="clear"/>
          </w:tcPr>
          <w:p>
            <w:pPr>
              <w:jc w:val="left"/>
            </w:pPr>
            <w:r/>
            <w:r>
              <w:rPr>
                <w:rFonts w:ascii="Arial" w:hAnsi="Arial"/>
                <w:b w:val="0"/>
                <w:sz w:val="18"/>
              </w:rPr>
              <w:t>$4,300</w:t>
            </w:r>
          </w:p>
        </w:tc>
        <w:tc>
          <w:tcPr>
            <w:tcW w:type="dxa" w:w="2592"/>
            <w:shd w:fill="F2F2F2" w:val="clear"/>
          </w:tcPr>
          <w:p>
            <w:pPr>
              <w:jc w:val="left"/>
            </w:pPr>
            <w:r/>
            <w:r>
              <w:rPr>
                <w:rFonts w:ascii="Arial" w:hAnsi="Arial"/>
                <w:b w:val="0"/>
                <w:sz w:val="18"/>
              </w:rPr>
              <w:t>Tax Deed (XD)</w:t>
            </w:r>
          </w:p>
        </w:tc>
        <w:tc>
          <w:tcPr>
            <w:tcW w:type="dxa" w:w="3600"/>
            <w:shd w:fill="F2F2F2" w:val="clear"/>
          </w:tcPr>
          <w:p>
            <w:pPr>
              <w:jc w:val="left"/>
            </w:pPr>
            <w:r/>
            <w:r>
              <w:rPr>
                <w:rFonts w:ascii="Arial" w:hAnsi="Arial"/>
                <w:b w:val="0"/>
                <w:sz w:val="18"/>
              </w:rPr>
              <w:t>Book 6419/Page 1735</w:t>
            </w:r>
          </w:p>
        </w:tc>
      </w:tr>
      <w:tr>
        <w:tc>
          <w:tcPr>
            <w:tcW w:type="dxa" w:w="2160"/>
          </w:tcPr>
          <w:p>
            <w:pPr>
              <w:jc w:val="left"/>
            </w:pPr>
            <w:r/>
            <w:r>
              <w:rPr>
                <w:rFonts w:ascii="Arial" w:hAnsi="Arial"/>
                <w:b w:val="0"/>
                <w:sz w:val="18"/>
              </w:rPr>
              <w:t>10/29/2004</w:t>
            </w:r>
          </w:p>
        </w:tc>
        <w:tc>
          <w:tcPr>
            <w:tcW w:type="dxa" w:w="1728"/>
          </w:tcPr>
          <w:p>
            <w:pPr>
              <w:jc w:val="left"/>
            </w:pPr>
            <w:r/>
            <w:r>
              <w:rPr>
                <w:rFonts w:ascii="Arial" w:hAnsi="Arial"/>
                <w:b w:val="0"/>
                <w:sz w:val="18"/>
              </w:rPr>
              <w:t>$277,000</w:t>
            </w:r>
          </w:p>
        </w:tc>
        <w:tc>
          <w:tcPr>
            <w:tcW w:type="dxa" w:w="2592"/>
          </w:tcPr>
          <w:p>
            <w:pPr>
              <w:jc w:val="left"/>
            </w:pPr>
            <w:r/>
            <w:r>
              <w:rPr>
                <w:rFonts w:ascii="Arial" w:hAnsi="Arial"/>
                <w:b w:val="0"/>
                <w:sz w:val="18"/>
              </w:rPr>
              <w:t>Trustee Deed (TD)</w:t>
            </w:r>
          </w:p>
        </w:tc>
        <w:tc>
          <w:tcPr>
            <w:tcW w:type="dxa" w:w="3600"/>
          </w:tcPr>
          <w:p>
            <w:pPr>
              <w:jc w:val="left"/>
            </w:pPr>
            <w:r/>
            <w:r>
              <w:rPr>
                <w:rFonts w:ascii="Arial" w:hAnsi="Arial"/>
                <w:b w:val="0"/>
                <w:sz w:val="18"/>
              </w:rPr>
              <w:t>Book 5382/Page 2335</w:t>
            </w:r>
          </w:p>
        </w:tc>
      </w:tr>
    </w:tbl>
    <w:p>
      <w:r>
        <w:rPr>
          <w:rFonts w:ascii="Arial" w:hAnsi="Arial"/>
          <w:b w:val="0"/>
          <w:i w:val="0"/>
          <w:sz w:val="20"/>
        </w:rPr>
      </w:r>
    </w:p>
    <w:p>
      <w:r>
        <w:rPr>
          <w:rFonts w:ascii="Arial" w:hAnsi="Arial"/>
          <w:b w:val="0"/>
          <w:i/>
          <w:sz w:val="20"/>
        </w:rPr>
        <w:t>Note: Two consecutive tax deed sales (2011 and 2023) indicate long-term vacancy. The $277K-to-$35K price decline reflects the severe constraints on this parcel, not general market conditions.</w:t>
      </w:r>
    </w:p>
    <w:p>
      <w:r>
        <w:br w:type="page"/>
      </w:r>
    </w:p>
    <w:p>
      <w:pPr>
        <w:pStyle w:val="Heading1"/>
      </w:pPr>
      <w:r>
        <w:rPr>
          <w:rFonts w:ascii="Arial" w:hAnsi="Arial"/>
          <w:color w:val="1E3A5F"/>
        </w:rPr>
        <w:t>Section 2: Zoning &amp; Land Use</w:t>
      </w:r>
    </w:p>
    <w:p>
      <w:r>
        <w:rPr>
          <w:rFonts w:ascii="Arial" w:hAnsi="Arial"/>
          <w:b/>
          <w:i w:val="0"/>
          <w:sz w:val="20"/>
        </w:rPr>
        <w:t>Current Zoning Designation</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Field</w:t>
            </w:r>
          </w:p>
        </w:tc>
        <w:tc>
          <w:tcPr>
            <w:tcW w:type="dxa" w:w="6480"/>
            <w:shd w:fill="1E3A5F" w:val="clear"/>
          </w:tcPr>
          <w:p>
            <w:pPr>
              <w:jc w:val="center"/>
            </w:pPr>
            <w:r>
              <w:rPr>
                <w:rFonts w:ascii="Arial" w:hAnsi="Arial"/>
                <w:b/>
                <w:color w:val="FFFFFF"/>
                <w:sz w:val="18"/>
              </w:rPr>
            </w:r>
            <w:r>
              <w:rPr>
                <w:rFonts w:ascii="Arial" w:hAnsi="Arial"/>
                <w:b/>
                <w:color w:val="FFFFFF"/>
                <w:sz w:val="18"/>
              </w:rPr>
              <w:t>Value</w:t>
            </w:r>
          </w:p>
        </w:tc>
      </w:tr>
      <w:tr>
        <w:tc>
          <w:tcPr>
            <w:tcW w:type="dxa" w:w="3600"/>
          </w:tcPr>
          <w:p>
            <w:pPr>
              <w:jc w:val="left"/>
            </w:pPr>
            <w:r/>
            <w:r>
              <w:rPr>
                <w:rFonts w:ascii="Arial" w:hAnsi="Arial"/>
                <w:b w:val="0"/>
                <w:sz w:val="18"/>
              </w:rPr>
              <w:t>Current Zoning</w:t>
            </w:r>
          </w:p>
        </w:tc>
        <w:tc>
          <w:tcPr>
            <w:tcW w:type="dxa" w:w="6480"/>
          </w:tcPr>
          <w:p>
            <w:pPr>
              <w:jc w:val="left"/>
            </w:pPr>
            <w:r/>
            <w:r>
              <w:rPr>
                <w:rFonts w:ascii="Arial" w:hAnsi="Arial"/>
                <w:b w:val="0"/>
                <w:sz w:val="18"/>
              </w:rPr>
              <w:t>PUD (Planned Unit Development)</w:t>
            </w:r>
          </w:p>
        </w:tc>
      </w:tr>
      <w:tr>
        <w:tc>
          <w:tcPr>
            <w:tcW w:type="dxa" w:w="3600"/>
            <w:shd w:fill="F2F2F2" w:val="clear"/>
          </w:tcPr>
          <w:p>
            <w:pPr>
              <w:jc w:val="left"/>
            </w:pPr>
            <w:r/>
            <w:r>
              <w:rPr>
                <w:rFonts w:ascii="Arial" w:hAnsi="Arial"/>
                <w:b w:val="0"/>
                <w:sz w:val="18"/>
              </w:rPr>
              <w:t>Future Land Use</w:t>
            </w:r>
          </w:p>
        </w:tc>
        <w:tc>
          <w:tcPr>
            <w:tcW w:type="dxa" w:w="6480"/>
            <w:shd w:fill="F2F2F2" w:val="clear"/>
          </w:tcPr>
          <w:p>
            <w:pPr>
              <w:jc w:val="left"/>
            </w:pPr>
            <w:r/>
            <w:r>
              <w:rPr>
                <w:rFonts w:ascii="Arial" w:hAnsi="Arial"/>
                <w:b w:val="0"/>
                <w:sz w:val="18"/>
              </w:rPr>
              <w:t>HDR (High Density Residential)</w:t>
            </w:r>
          </w:p>
        </w:tc>
      </w:tr>
      <w:tr>
        <w:tc>
          <w:tcPr>
            <w:tcW w:type="dxa" w:w="3600"/>
          </w:tcPr>
          <w:p>
            <w:pPr>
              <w:jc w:val="left"/>
            </w:pPr>
            <w:r/>
            <w:r>
              <w:rPr>
                <w:rFonts w:ascii="Arial" w:hAnsi="Arial"/>
                <w:b w:val="0"/>
                <w:sz w:val="18"/>
              </w:rPr>
              <w:t>Maximum Density (HDR)</w:t>
            </w:r>
          </w:p>
        </w:tc>
        <w:tc>
          <w:tcPr>
            <w:tcW w:type="dxa" w:w="6480"/>
          </w:tcPr>
          <w:p>
            <w:pPr>
              <w:jc w:val="left"/>
            </w:pPr>
            <w:r/>
            <w:r>
              <w:rPr>
                <w:rFonts w:ascii="Arial" w:hAnsi="Arial"/>
                <w:b w:val="0"/>
                <w:sz w:val="18"/>
              </w:rPr>
              <w:t>Up to 20 du/acre</w:t>
            </w:r>
          </w:p>
        </w:tc>
      </w:tr>
      <w:tr>
        <w:tc>
          <w:tcPr>
            <w:tcW w:type="dxa" w:w="3600"/>
            <w:shd w:fill="F2F2F2" w:val="clear"/>
          </w:tcPr>
          <w:p>
            <w:pPr>
              <w:jc w:val="left"/>
            </w:pPr>
            <w:r/>
            <w:r>
              <w:rPr>
                <w:rFonts w:ascii="Arial" w:hAnsi="Arial"/>
                <w:b w:val="0"/>
                <w:sz w:val="18"/>
              </w:rPr>
              <w:t>PUD Type</w:t>
            </w:r>
          </w:p>
        </w:tc>
        <w:tc>
          <w:tcPr>
            <w:tcW w:type="dxa" w:w="6480"/>
            <w:shd w:fill="F2F2F2" w:val="clear"/>
          </w:tcPr>
          <w:p>
            <w:pPr>
              <w:jc w:val="left"/>
            </w:pPr>
            <w:r/>
            <w:r>
              <w:rPr>
                <w:rFonts w:ascii="Arial" w:hAnsi="Arial"/>
                <w:b w:val="0"/>
                <w:sz w:val="18"/>
              </w:rPr>
              <w:t>Small PUD (SPUD) — min 1.0 acre (Section 185.061)</w:t>
            </w:r>
          </w:p>
        </w:tc>
      </w:tr>
      <w:tr>
        <w:tc>
          <w:tcPr>
            <w:tcW w:type="dxa" w:w="3600"/>
          </w:tcPr>
          <w:p>
            <w:pPr>
              <w:jc w:val="left"/>
            </w:pPr>
            <w:r/>
            <w:r>
              <w:rPr>
                <w:rFonts w:ascii="Arial" w:hAnsi="Arial"/>
                <w:b w:val="0"/>
                <w:sz w:val="18"/>
              </w:rPr>
              <w:t>PUD Ordinance</w:t>
            </w:r>
          </w:p>
        </w:tc>
        <w:tc>
          <w:tcPr>
            <w:tcW w:type="dxa" w:w="6480"/>
          </w:tcPr>
          <w:p>
            <w:pPr>
              <w:jc w:val="left"/>
            </w:pPr>
            <w:r/>
            <w:r>
              <w:rPr>
                <w:rFonts w:ascii="Arial" w:hAnsi="Arial"/>
                <w:b w:val="0"/>
                <w:sz w:val="18"/>
              </w:rPr>
              <w:t>NOT YET OBTAINED — must request from City Clerk</w:t>
            </w:r>
          </w:p>
        </w:tc>
      </w:tr>
      <w:tr>
        <w:tc>
          <w:tcPr>
            <w:tcW w:type="dxa" w:w="3600"/>
            <w:shd w:fill="F2F2F2" w:val="clear"/>
          </w:tcPr>
          <w:p>
            <w:pPr>
              <w:jc w:val="left"/>
            </w:pPr>
            <w:r/>
            <w:r>
              <w:rPr>
                <w:rFonts w:ascii="Arial" w:hAnsi="Arial"/>
                <w:b w:val="0"/>
                <w:sz w:val="18"/>
              </w:rPr>
              <w:t>Zoning Source</w:t>
            </w:r>
          </w:p>
        </w:tc>
        <w:tc>
          <w:tcPr>
            <w:tcW w:type="dxa" w:w="6480"/>
            <w:shd w:fill="F2F2F2" w:val="clear"/>
          </w:tcPr>
          <w:p>
            <w:pPr>
              <w:jc w:val="left"/>
            </w:pPr>
            <w:r/>
            <w:r>
              <w:rPr>
                <w:rFonts w:ascii="Arial" w:hAnsi="Arial"/>
                <w:b w:val="0"/>
                <w:sz w:val="18"/>
              </w:rPr>
              <w:t>Palm Bay GIS REST — live query Feb 6, 2026</w:t>
            </w:r>
          </w:p>
        </w:tc>
      </w:tr>
    </w:tbl>
    <w:p>
      <w:r>
        <w:rPr>
          <w:rFonts w:ascii="Arial" w:hAnsi="Arial"/>
          <w:b w:val="0"/>
          <w:i w:val="0"/>
          <w:sz w:val="20"/>
        </w:rPr>
      </w:r>
    </w:p>
    <w:p>
      <w:r>
        <w:rPr>
          <w:rFonts w:ascii="Arial" w:hAnsi="Arial"/>
          <w:b/>
          <w:i w:val="0"/>
          <w:sz w:val="20"/>
        </w:rPr>
        <w:t>PUD Zoning Implications</w:t>
      </w:r>
    </w:p>
    <w:p>
      <w:r>
        <w:rPr>
          <w:rFonts w:ascii="Arial" w:hAnsi="Arial"/>
          <w:b w:val="0"/>
          <w:i w:val="0"/>
          <w:sz w:val="20"/>
        </w:rPr>
        <w:t>PUD zoning means development standards (setbacks, height, density, permitted uses) are controlled by the approved PUD ordinance and development plan — NOT by the standard RM district tables in the municipal code. The PUD ordinance for Sandy Pines Preserve has not been located through online searches. It must be obtained from the Palm Bay City Clerk. Without this document, no definitive feasibility determination can be made.</w:t>
      </w:r>
    </w:p>
    <w:p>
      <w:r>
        <w:rPr>
          <w:rFonts w:ascii="Arial" w:hAnsi="Arial"/>
          <w:b w:val="0"/>
          <w:i w:val="0"/>
          <w:sz w:val="20"/>
        </w:rPr>
      </w:r>
    </w:p>
    <w:p>
      <w:r>
        <w:rPr>
          <w:rFonts w:ascii="Arial" w:hAnsi="Arial"/>
          <w:b/>
          <w:i w:val="0"/>
          <w:sz w:val="20"/>
        </w:rPr>
        <w:t>RM-15 Reference Standards (Fallback Benchmark)</w:t>
      </w:r>
    </w:p>
    <w:p>
      <w:r>
        <w:rPr>
          <w:rFonts w:ascii="Arial" w:hAnsi="Arial"/>
          <w:b w:val="0"/>
          <w:i w:val="0"/>
          <w:sz w:val="20"/>
        </w:rPr>
        <w:t>Since the PUD ordinance is unavailable, RM-15 standards are used as a reference benchmark. RM-15 is the most comparable standard zoning district for HDR future land use:</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Standard</w:t>
            </w:r>
          </w:p>
        </w:tc>
        <w:tc>
          <w:tcPr>
            <w:tcW w:type="dxa" w:w="6480"/>
            <w:shd w:fill="1E3A5F" w:val="clear"/>
          </w:tcPr>
          <w:p>
            <w:pPr>
              <w:jc w:val="center"/>
            </w:pPr>
            <w:r>
              <w:rPr>
                <w:rFonts w:ascii="Arial" w:hAnsi="Arial"/>
                <w:b/>
                <w:color w:val="FFFFFF"/>
                <w:sz w:val="18"/>
              </w:rPr>
            </w:r>
            <w:r>
              <w:rPr>
                <w:rFonts w:ascii="Arial" w:hAnsi="Arial"/>
                <w:b/>
                <w:color w:val="FFFFFF"/>
                <w:sz w:val="18"/>
              </w:rPr>
              <w:t>Requirement</w:t>
            </w:r>
          </w:p>
        </w:tc>
      </w:tr>
      <w:tr>
        <w:tc>
          <w:tcPr>
            <w:tcW w:type="dxa" w:w="3600"/>
          </w:tcPr>
          <w:p>
            <w:pPr>
              <w:jc w:val="left"/>
            </w:pPr>
            <w:r/>
            <w:r>
              <w:rPr>
                <w:rFonts w:ascii="Arial" w:hAnsi="Arial"/>
                <w:b w:val="0"/>
                <w:sz w:val="18"/>
              </w:rPr>
              <w:t>Maximum Density</w:t>
            </w:r>
          </w:p>
        </w:tc>
        <w:tc>
          <w:tcPr>
            <w:tcW w:type="dxa" w:w="6480"/>
          </w:tcPr>
          <w:p>
            <w:pPr>
              <w:jc w:val="left"/>
            </w:pPr>
            <w:r/>
            <w:r>
              <w:rPr>
                <w:rFonts w:ascii="Arial" w:hAnsi="Arial"/>
                <w:b w:val="0"/>
                <w:sz w:val="18"/>
              </w:rPr>
              <w:t>15 du/acre</w:t>
            </w:r>
          </w:p>
        </w:tc>
      </w:tr>
      <w:tr>
        <w:tc>
          <w:tcPr>
            <w:tcW w:type="dxa" w:w="3600"/>
            <w:shd w:fill="F2F2F2" w:val="clear"/>
          </w:tcPr>
          <w:p>
            <w:pPr>
              <w:jc w:val="left"/>
            </w:pPr>
            <w:r/>
            <w:r>
              <w:rPr>
                <w:rFonts w:ascii="Arial" w:hAnsi="Arial"/>
                <w:b w:val="0"/>
                <w:sz w:val="18"/>
              </w:rPr>
              <w:t>Front Setback</w:t>
            </w:r>
          </w:p>
        </w:tc>
        <w:tc>
          <w:tcPr>
            <w:tcW w:type="dxa" w:w="6480"/>
            <w:shd w:fill="F2F2F2" w:val="clear"/>
          </w:tcPr>
          <w:p>
            <w:pPr>
              <w:jc w:val="left"/>
            </w:pPr>
            <w:r/>
            <w:r>
              <w:rPr>
                <w:rFonts w:ascii="Arial" w:hAnsi="Arial"/>
                <w:b w:val="0"/>
                <w:sz w:val="18"/>
              </w:rPr>
              <w:t>25 ft OR building height, whichever is greater</w:t>
            </w:r>
          </w:p>
        </w:tc>
      </w:tr>
      <w:tr>
        <w:tc>
          <w:tcPr>
            <w:tcW w:type="dxa" w:w="3600"/>
          </w:tcPr>
          <w:p>
            <w:pPr>
              <w:jc w:val="left"/>
            </w:pPr>
            <w:r/>
            <w:r>
              <w:rPr>
                <w:rFonts w:ascii="Arial" w:hAnsi="Arial"/>
                <w:b w:val="0"/>
                <w:sz w:val="18"/>
              </w:rPr>
              <w:t>Side Setback</w:t>
            </w:r>
          </w:p>
        </w:tc>
        <w:tc>
          <w:tcPr>
            <w:tcW w:type="dxa" w:w="6480"/>
          </w:tcPr>
          <w:p>
            <w:pPr>
              <w:jc w:val="left"/>
            </w:pPr>
            <w:r/>
            <w:r>
              <w:rPr>
                <w:rFonts w:ascii="Arial" w:hAnsi="Arial"/>
                <w:b w:val="0"/>
                <w:sz w:val="18"/>
              </w:rPr>
              <w:t>15 ft OR building height, whichever is greater</w:t>
            </w:r>
          </w:p>
        </w:tc>
      </w:tr>
      <w:tr>
        <w:tc>
          <w:tcPr>
            <w:tcW w:type="dxa" w:w="3600"/>
            <w:shd w:fill="F2F2F2" w:val="clear"/>
          </w:tcPr>
          <w:p>
            <w:pPr>
              <w:jc w:val="left"/>
            </w:pPr>
            <w:r/>
            <w:r>
              <w:rPr>
                <w:rFonts w:ascii="Arial" w:hAnsi="Arial"/>
                <w:b w:val="0"/>
                <w:sz w:val="18"/>
              </w:rPr>
              <w:t>Rear Setback</w:t>
            </w:r>
          </w:p>
        </w:tc>
        <w:tc>
          <w:tcPr>
            <w:tcW w:type="dxa" w:w="6480"/>
            <w:shd w:fill="F2F2F2" w:val="clear"/>
          </w:tcPr>
          <w:p>
            <w:pPr>
              <w:jc w:val="left"/>
            </w:pPr>
            <w:r/>
            <w:r>
              <w:rPr>
                <w:rFonts w:ascii="Arial" w:hAnsi="Arial"/>
                <w:b w:val="0"/>
                <w:sz w:val="18"/>
              </w:rPr>
              <w:t>25 ft OR building height, whichever is greater</w:t>
            </w:r>
          </w:p>
        </w:tc>
      </w:tr>
      <w:tr>
        <w:tc>
          <w:tcPr>
            <w:tcW w:type="dxa" w:w="3600"/>
          </w:tcPr>
          <w:p>
            <w:pPr>
              <w:jc w:val="left"/>
            </w:pPr>
            <w:r/>
            <w:r>
              <w:rPr>
                <w:rFonts w:ascii="Arial" w:hAnsi="Arial"/>
                <w:b w:val="0"/>
                <w:sz w:val="18"/>
              </w:rPr>
              <w:t>Max Building Height</w:t>
            </w:r>
          </w:p>
        </w:tc>
        <w:tc>
          <w:tcPr>
            <w:tcW w:type="dxa" w:w="6480"/>
          </w:tcPr>
          <w:p>
            <w:pPr>
              <w:jc w:val="left"/>
            </w:pPr>
            <w:r/>
            <w:r>
              <w:rPr>
                <w:rFonts w:ascii="Arial" w:hAnsi="Arial"/>
                <w:b w:val="0"/>
                <w:sz w:val="18"/>
              </w:rPr>
              <w:t>40 ft</w:t>
            </w:r>
          </w:p>
        </w:tc>
      </w:tr>
      <w:tr>
        <w:tc>
          <w:tcPr>
            <w:tcW w:type="dxa" w:w="3600"/>
            <w:shd w:fill="F2F2F2" w:val="clear"/>
          </w:tcPr>
          <w:p>
            <w:pPr>
              <w:jc w:val="left"/>
            </w:pPr>
            <w:r/>
            <w:r>
              <w:rPr>
                <w:rFonts w:ascii="Arial" w:hAnsi="Arial"/>
                <w:b w:val="0"/>
                <w:sz w:val="18"/>
              </w:rPr>
              <w:t>Building Separation</w:t>
            </w:r>
          </w:p>
        </w:tc>
        <w:tc>
          <w:tcPr>
            <w:tcW w:type="dxa" w:w="6480"/>
            <w:shd w:fill="F2F2F2" w:val="clear"/>
          </w:tcPr>
          <w:p>
            <w:pPr>
              <w:jc w:val="left"/>
            </w:pPr>
            <w:r/>
            <w:r>
              <w:rPr>
                <w:rFonts w:ascii="Arial" w:hAnsi="Arial"/>
                <w:b w:val="0"/>
                <w:sz w:val="18"/>
              </w:rPr>
              <w:t>30 ft</w:t>
            </w:r>
          </w:p>
        </w:tc>
      </w:tr>
      <w:tr>
        <w:tc>
          <w:tcPr>
            <w:tcW w:type="dxa" w:w="3600"/>
          </w:tcPr>
          <w:p>
            <w:pPr>
              <w:jc w:val="left"/>
            </w:pPr>
            <w:r/>
            <w:r>
              <w:rPr>
                <w:rFonts w:ascii="Arial" w:hAnsi="Arial"/>
                <w:b w:val="0"/>
                <w:sz w:val="18"/>
              </w:rPr>
              <w:t>Parking Setback</w:t>
            </w:r>
          </w:p>
        </w:tc>
        <w:tc>
          <w:tcPr>
            <w:tcW w:type="dxa" w:w="6480"/>
          </w:tcPr>
          <w:p>
            <w:pPr>
              <w:jc w:val="left"/>
            </w:pPr>
            <w:r/>
            <w:r>
              <w:rPr>
                <w:rFonts w:ascii="Arial" w:hAnsi="Arial"/>
                <w:b w:val="0"/>
                <w:sz w:val="18"/>
              </w:rPr>
              <w:t>10 ft from property line</w:t>
            </w:r>
          </w:p>
        </w:tc>
      </w:tr>
      <w:tr>
        <w:tc>
          <w:tcPr>
            <w:tcW w:type="dxa" w:w="3600"/>
            <w:shd w:fill="F2F2F2" w:val="clear"/>
          </w:tcPr>
          <w:p>
            <w:pPr>
              <w:jc w:val="left"/>
            </w:pPr>
            <w:r/>
            <w:r>
              <w:rPr>
                <w:rFonts w:ascii="Arial" w:hAnsi="Arial"/>
                <w:b w:val="0"/>
                <w:sz w:val="18"/>
              </w:rPr>
              <w:t>Open Space</w:t>
            </w:r>
          </w:p>
        </w:tc>
        <w:tc>
          <w:tcPr>
            <w:tcW w:type="dxa" w:w="6480"/>
            <w:shd w:fill="F2F2F2" w:val="clear"/>
          </w:tcPr>
          <w:p>
            <w:pPr>
              <w:jc w:val="left"/>
            </w:pPr>
            <w:r/>
            <w:r>
              <w:rPr>
                <w:rFonts w:ascii="Arial" w:hAnsi="Arial"/>
                <w:b w:val="0"/>
                <w:sz w:val="18"/>
              </w:rPr>
              <w:t>25% of gross site area (PUD requirement, Section 173.070)</w:t>
            </w:r>
          </w:p>
        </w:tc>
      </w:tr>
    </w:tbl>
    <w:p>
      <w:r>
        <w:rPr>
          <w:rFonts w:ascii="Arial" w:hAnsi="Arial"/>
          <w:b w:val="0"/>
          <w:i w:val="0"/>
          <w:sz w:val="20"/>
        </w:rPr>
      </w:r>
    </w:p>
    <w:p>
      <w:r>
        <w:rPr>
          <w:rFonts w:ascii="Arial" w:hAnsi="Arial"/>
          <w:b w:val="0"/>
          <w:i/>
          <w:sz w:val="20"/>
        </w:rPr>
        <w:t>Ordinance 2024-45 (Nov 7, 2024): All RM-10 districts rezoned to RM-15 citywide (361 acres affected). This ordinance does NOT apply to PUD-zoned parcels.</w:t>
      </w:r>
    </w:p>
    <w:p>
      <w:r>
        <w:br w:type="page"/>
      </w:r>
    </w:p>
    <w:p>
      <w:pPr>
        <w:pStyle w:val="Heading1"/>
      </w:pPr>
      <w:r>
        <w:rPr>
          <w:rFonts w:ascii="Arial" w:hAnsi="Arial"/>
          <w:color w:val="1E3A5F"/>
        </w:rPr>
        <w:t>Section 3: Site Analysis</w:t>
      </w:r>
    </w:p>
    <w:p>
      <w:r>
        <w:rPr>
          <w:rFonts w:ascii="Arial" w:hAnsi="Arial"/>
          <w:b/>
          <w:i w:val="0"/>
          <w:sz w:val="20"/>
        </w:rPr>
        <w:t>Survey-Verified Dimensions</w:t>
      </w:r>
    </w:p>
    <w:p>
      <w:r>
        <w:rPr>
          <w:rFonts w:ascii="Arial" w:hAnsi="Arial"/>
          <w:b w:val="0"/>
          <w:i w:val="0"/>
          <w:sz w:val="20"/>
        </w:rPr>
        <w:t>Source: Smith Survey Company (L.B. 7436), Scale 1" = 30'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1E3A5F" w:val="clear"/>
          </w:tcPr>
          <w:p>
            <w:pPr>
              <w:jc w:val="center"/>
            </w:pPr>
            <w:r>
              <w:rPr>
                <w:rFonts w:ascii="Arial" w:hAnsi="Arial"/>
                <w:b/>
                <w:color w:val="FFFFFF"/>
                <w:sz w:val="18"/>
              </w:rPr>
            </w:r>
            <w:r>
              <w:rPr>
                <w:rFonts w:ascii="Arial" w:hAnsi="Arial"/>
                <w:b/>
                <w:color w:val="FFFFFF"/>
                <w:sz w:val="18"/>
              </w:rPr>
              <w:t>Boundary</w:t>
            </w:r>
          </w:p>
        </w:tc>
        <w:tc>
          <w:tcPr>
            <w:tcW w:type="dxa" w:w="2592"/>
            <w:shd w:fill="1E3A5F" w:val="clear"/>
          </w:tcPr>
          <w:p>
            <w:pPr>
              <w:jc w:val="center"/>
            </w:pPr>
            <w:r>
              <w:rPr>
                <w:rFonts w:ascii="Arial" w:hAnsi="Arial"/>
                <w:b/>
                <w:color w:val="FFFFFF"/>
                <w:sz w:val="18"/>
              </w:rPr>
            </w:r>
            <w:r>
              <w:rPr>
                <w:rFonts w:ascii="Arial" w:hAnsi="Arial"/>
                <w:b/>
                <w:color w:val="FFFFFF"/>
                <w:sz w:val="18"/>
              </w:rPr>
              <w:t>Bearing</w:t>
            </w:r>
          </w:p>
        </w:tc>
        <w:tc>
          <w:tcPr>
            <w:tcW w:type="dxa" w:w="2160"/>
            <w:shd w:fill="1E3A5F" w:val="clear"/>
          </w:tcPr>
          <w:p>
            <w:pPr>
              <w:jc w:val="center"/>
            </w:pPr>
            <w:r>
              <w:rPr>
                <w:rFonts w:ascii="Arial" w:hAnsi="Arial"/>
                <w:b/>
                <w:color w:val="FFFFFF"/>
                <w:sz w:val="18"/>
              </w:rPr>
            </w:r>
            <w:r>
              <w:rPr>
                <w:rFonts w:ascii="Arial" w:hAnsi="Arial"/>
                <w:b/>
                <w:color w:val="FFFFFF"/>
                <w:sz w:val="18"/>
              </w:rPr>
              <w:t>Distance</w:t>
            </w:r>
          </w:p>
        </w:tc>
        <w:tc>
          <w:tcPr>
            <w:tcW w:type="dxa" w:w="3168"/>
            <w:shd w:fill="1E3A5F" w:val="clear"/>
          </w:tcPr>
          <w:p>
            <w:pPr>
              <w:jc w:val="center"/>
            </w:pPr>
            <w:r>
              <w:rPr>
                <w:rFonts w:ascii="Arial" w:hAnsi="Arial"/>
                <w:b/>
                <w:color w:val="FFFFFF"/>
                <w:sz w:val="18"/>
              </w:rPr>
            </w:r>
            <w:r>
              <w:rPr>
                <w:rFonts w:ascii="Arial" w:hAnsi="Arial"/>
                <w:b/>
                <w:color w:val="FFFFFF"/>
                <w:sz w:val="18"/>
              </w:rPr>
              <w:t>Adjacent</w:t>
            </w:r>
          </w:p>
        </w:tc>
      </w:tr>
      <w:tr>
        <w:tc>
          <w:tcPr>
            <w:tcW w:type="dxa" w:w="2160"/>
          </w:tcPr>
          <w:p>
            <w:pPr>
              <w:jc w:val="left"/>
            </w:pPr>
            <w:r/>
            <w:r>
              <w:rPr>
                <w:rFonts w:ascii="Arial" w:hAnsi="Arial"/>
                <w:b w:val="0"/>
                <w:sz w:val="18"/>
              </w:rPr>
              <w:t>North Boundary</w:t>
            </w:r>
          </w:p>
        </w:tc>
        <w:tc>
          <w:tcPr>
            <w:tcW w:type="dxa" w:w="2592"/>
          </w:tcPr>
          <w:p>
            <w:pPr>
              <w:jc w:val="left"/>
            </w:pPr>
            <w:r/>
            <w:r>
              <w:rPr>
                <w:rFonts w:ascii="Arial" w:hAnsi="Arial"/>
                <w:b w:val="0"/>
                <w:sz w:val="18"/>
              </w:rPr>
              <w:t>S89°31'14"E</w:t>
            </w:r>
          </w:p>
        </w:tc>
        <w:tc>
          <w:tcPr>
            <w:tcW w:type="dxa" w:w="2160"/>
          </w:tcPr>
          <w:p>
            <w:pPr>
              <w:jc w:val="left"/>
            </w:pPr>
            <w:r/>
            <w:r>
              <w:rPr>
                <w:rFonts w:ascii="Arial" w:hAnsi="Arial"/>
                <w:b w:val="0"/>
                <w:sz w:val="18"/>
              </w:rPr>
              <w:t>200.00 ft</w:t>
            </w:r>
          </w:p>
        </w:tc>
        <w:tc>
          <w:tcPr>
            <w:tcW w:type="dxa" w:w="3168"/>
          </w:tcPr>
          <w:p>
            <w:pPr>
              <w:jc w:val="left"/>
            </w:pPr>
            <w:r/>
            <w:r>
              <w:rPr>
                <w:rFonts w:ascii="Arial" w:hAnsi="Arial"/>
                <w:b w:val="0"/>
                <w:sz w:val="18"/>
              </w:rPr>
              <w:t>Adjacent to Tract D (Preserve)</w:t>
            </w:r>
          </w:p>
        </w:tc>
      </w:tr>
      <w:tr>
        <w:tc>
          <w:tcPr>
            <w:tcW w:type="dxa" w:w="2160"/>
            <w:shd w:fill="F2F2F2" w:val="clear"/>
          </w:tcPr>
          <w:p>
            <w:pPr>
              <w:jc w:val="left"/>
            </w:pPr>
            <w:r/>
            <w:r>
              <w:rPr>
                <w:rFonts w:ascii="Arial" w:hAnsi="Arial"/>
                <w:b w:val="0"/>
                <w:sz w:val="18"/>
              </w:rPr>
              <w:t>East Boundary</w:t>
            </w:r>
          </w:p>
        </w:tc>
        <w:tc>
          <w:tcPr>
            <w:tcW w:type="dxa" w:w="2592"/>
            <w:shd w:fill="F2F2F2" w:val="clear"/>
          </w:tcPr>
          <w:p>
            <w:pPr>
              <w:jc w:val="left"/>
            </w:pPr>
            <w:r/>
            <w:r>
              <w:rPr>
                <w:rFonts w:ascii="Arial" w:hAnsi="Arial"/>
                <w:b w:val="0"/>
                <w:sz w:val="18"/>
              </w:rPr>
              <w:t>S00°28'46"W</w:t>
            </w:r>
          </w:p>
        </w:tc>
        <w:tc>
          <w:tcPr>
            <w:tcW w:type="dxa" w:w="2160"/>
            <w:shd w:fill="F2F2F2" w:val="clear"/>
          </w:tcPr>
          <w:p>
            <w:pPr>
              <w:jc w:val="left"/>
            </w:pPr>
            <w:r/>
            <w:r>
              <w:rPr>
                <w:rFonts w:ascii="Arial" w:hAnsi="Arial"/>
                <w:b w:val="0"/>
                <w:sz w:val="18"/>
              </w:rPr>
              <w:t>277.15 ft</w:t>
            </w:r>
          </w:p>
        </w:tc>
        <w:tc>
          <w:tcPr>
            <w:tcW w:type="dxa" w:w="3168"/>
            <w:shd w:fill="F2F2F2" w:val="clear"/>
          </w:tcPr>
          <w:p>
            <w:pPr>
              <w:jc w:val="left"/>
            </w:pPr>
            <w:r/>
            <w:r>
              <w:rPr>
                <w:rFonts w:ascii="Arial" w:hAnsi="Arial"/>
                <w:b w:val="0"/>
                <w:sz w:val="18"/>
              </w:rPr>
              <w:t>Adjacent to Tract O (Preserve)</w:t>
            </w:r>
          </w:p>
        </w:tc>
      </w:tr>
      <w:tr>
        <w:tc>
          <w:tcPr>
            <w:tcW w:type="dxa" w:w="2160"/>
          </w:tcPr>
          <w:p>
            <w:pPr>
              <w:jc w:val="left"/>
            </w:pPr>
            <w:r/>
            <w:r>
              <w:rPr>
                <w:rFonts w:ascii="Arial" w:hAnsi="Arial"/>
                <w:b w:val="0"/>
                <w:sz w:val="18"/>
              </w:rPr>
              <w:t>South (Sandy Pines Dr)</w:t>
            </w:r>
          </w:p>
        </w:tc>
        <w:tc>
          <w:tcPr>
            <w:tcW w:type="dxa" w:w="2592"/>
          </w:tcPr>
          <w:p>
            <w:pPr>
              <w:jc w:val="left"/>
            </w:pPr>
            <w:r/>
            <w:r>
              <w:rPr>
                <w:rFonts w:ascii="Arial" w:hAnsi="Arial"/>
                <w:b w:val="0"/>
                <w:sz w:val="18"/>
              </w:rPr>
              <w:t>Curve R=1036.12'</w:t>
            </w:r>
          </w:p>
        </w:tc>
        <w:tc>
          <w:tcPr>
            <w:tcW w:type="dxa" w:w="2160"/>
          </w:tcPr>
          <w:p>
            <w:pPr>
              <w:jc w:val="left"/>
            </w:pPr>
            <w:r/>
            <w:r>
              <w:rPr>
                <w:rFonts w:ascii="Arial" w:hAnsi="Arial"/>
                <w:b w:val="0"/>
                <w:sz w:val="18"/>
              </w:rPr>
              <w:t>214.67 ft (arc)</w:t>
            </w:r>
          </w:p>
        </w:tc>
        <w:tc>
          <w:tcPr>
            <w:tcW w:type="dxa" w:w="3168"/>
          </w:tcPr>
          <w:p>
            <w:pPr>
              <w:jc w:val="left"/>
            </w:pPr>
            <w:r/>
            <w:r>
              <w:rPr>
                <w:rFonts w:ascii="Arial" w:hAnsi="Arial"/>
                <w:b w:val="0"/>
                <w:sz w:val="18"/>
              </w:rPr>
              <w:t>Road frontage (curved)</w:t>
            </w:r>
          </w:p>
        </w:tc>
      </w:tr>
      <w:tr>
        <w:tc>
          <w:tcPr>
            <w:tcW w:type="dxa" w:w="2160"/>
            <w:shd w:fill="F2F2F2" w:val="clear"/>
          </w:tcPr>
          <w:p>
            <w:pPr>
              <w:jc w:val="left"/>
            </w:pPr>
            <w:r/>
            <w:r>
              <w:rPr>
                <w:rFonts w:ascii="Arial" w:hAnsi="Arial"/>
                <w:b w:val="0"/>
                <w:sz w:val="18"/>
              </w:rPr>
              <w:t>West Boundary</w:t>
            </w:r>
          </w:p>
        </w:tc>
        <w:tc>
          <w:tcPr>
            <w:tcW w:type="dxa" w:w="2592"/>
            <w:shd w:fill="F2F2F2" w:val="clear"/>
          </w:tcPr>
          <w:p>
            <w:pPr>
              <w:jc w:val="left"/>
            </w:pPr>
            <w:r/>
            <w:r>
              <w:rPr>
                <w:rFonts w:ascii="Arial" w:hAnsi="Arial"/>
                <w:b w:val="0"/>
                <w:sz w:val="18"/>
              </w:rPr>
              <w:t>N00°28'46"E</w:t>
            </w:r>
          </w:p>
        </w:tc>
        <w:tc>
          <w:tcPr>
            <w:tcW w:type="dxa" w:w="2160"/>
            <w:shd w:fill="F2F2F2" w:val="clear"/>
          </w:tcPr>
          <w:p>
            <w:pPr>
              <w:jc w:val="left"/>
            </w:pPr>
            <w:r/>
            <w:r>
              <w:rPr>
                <w:rFonts w:ascii="Arial" w:hAnsi="Arial"/>
                <w:b w:val="0"/>
                <w:sz w:val="18"/>
              </w:rPr>
              <w:t>200.00 ft</w:t>
            </w:r>
          </w:p>
        </w:tc>
        <w:tc>
          <w:tcPr>
            <w:tcW w:type="dxa" w:w="3168"/>
            <w:shd w:fill="F2F2F2" w:val="clear"/>
          </w:tcPr>
          <w:p>
            <w:pPr>
              <w:jc w:val="left"/>
            </w:pPr>
            <w:r/>
            <w:r>
              <w:rPr>
                <w:rFonts w:ascii="Arial" w:hAnsi="Arial"/>
                <w:b w:val="0"/>
                <w:sz w:val="18"/>
              </w:rPr>
              <w:t>Adjacent to Tract D (Preserve)</w:t>
            </w:r>
          </w:p>
        </w:tc>
      </w:tr>
    </w:tbl>
    <w:p>
      <w:r>
        <w:rPr>
          <w:rFonts w:ascii="Arial" w:hAnsi="Arial"/>
          <w:b w:val="0"/>
          <w:i w:val="0"/>
          <w:sz w:val="20"/>
        </w:rPr>
      </w:r>
    </w:p>
    <w:p>
      <w:r>
        <w:rPr>
          <w:rFonts w:ascii="Arial" w:hAnsi="Arial"/>
          <w:b/>
          <w:i w:val="0"/>
          <w:sz w:val="20"/>
        </w:rPr>
        <w:t>Area Calculations</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1E3A5F" w:val="clear"/>
          </w:tcPr>
          <w:p>
            <w:pPr>
              <w:jc w:val="center"/>
            </w:pPr>
            <w:r>
              <w:rPr>
                <w:rFonts w:ascii="Arial" w:hAnsi="Arial"/>
                <w:b/>
                <w:color w:val="FFFFFF"/>
                <w:sz w:val="18"/>
              </w:rPr>
            </w:r>
            <w:r>
              <w:rPr>
                <w:rFonts w:ascii="Arial" w:hAnsi="Arial"/>
                <w:b/>
                <w:color w:val="FFFFFF"/>
                <w:sz w:val="18"/>
              </w:rPr>
              <w:t>Source</w:t>
            </w:r>
          </w:p>
        </w:tc>
        <w:tc>
          <w:tcPr>
            <w:tcW w:type="dxa" w:w="2880"/>
            <w:shd w:fill="1E3A5F" w:val="clear"/>
          </w:tcPr>
          <w:p>
            <w:pPr>
              <w:jc w:val="center"/>
            </w:pPr>
            <w:r>
              <w:rPr>
                <w:rFonts w:ascii="Arial" w:hAnsi="Arial"/>
                <w:b/>
                <w:color w:val="FFFFFF"/>
                <w:sz w:val="18"/>
              </w:rPr>
            </w:r>
            <w:r>
              <w:rPr>
                <w:rFonts w:ascii="Arial" w:hAnsi="Arial"/>
                <w:b/>
                <w:color w:val="FFFFFF"/>
                <w:sz w:val="18"/>
              </w:rPr>
              <w:t>Square Feet</w:t>
            </w:r>
          </w:p>
        </w:tc>
        <w:tc>
          <w:tcPr>
            <w:tcW w:type="dxa" w:w="3600"/>
            <w:shd w:fill="1E3A5F" w:val="clear"/>
          </w:tcPr>
          <w:p>
            <w:pPr>
              <w:jc w:val="center"/>
            </w:pPr>
            <w:r>
              <w:rPr>
                <w:rFonts w:ascii="Arial" w:hAnsi="Arial"/>
                <w:b/>
                <w:color w:val="FFFFFF"/>
                <w:sz w:val="18"/>
              </w:rPr>
            </w:r>
            <w:r>
              <w:rPr>
                <w:rFonts w:ascii="Arial" w:hAnsi="Arial"/>
                <w:b/>
                <w:color w:val="FFFFFF"/>
                <w:sz w:val="18"/>
              </w:rPr>
              <w:t>Acres</w:t>
            </w:r>
          </w:p>
        </w:tc>
      </w:tr>
      <w:tr>
        <w:tc>
          <w:tcPr>
            <w:tcW w:type="dxa" w:w="3600"/>
          </w:tcPr>
          <w:p>
            <w:pPr>
              <w:jc w:val="left"/>
            </w:pPr>
            <w:r/>
            <w:r>
              <w:rPr>
                <w:rFonts w:ascii="Arial" w:hAnsi="Arial"/>
                <w:b w:val="0"/>
                <w:sz w:val="18"/>
              </w:rPr>
              <w:t>Computed Area (traverse)</w:t>
            </w:r>
          </w:p>
        </w:tc>
        <w:tc>
          <w:tcPr>
            <w:tcW w:type="dxa" w:w="2880"/>
          </w:tcPr>
          <w:p>
            <w:pPr>
              <w:jc w:val="left"/>
            </w:pPr>
            <w:r/>
            <w:r>
              <w:rPr>
                <w:rFonts w:ascii="Arial" w:hAnsi="Arial"/>
                <w:b w:val="0"/>
                <w:sz w:val="18"/>
              </w:rPr>
              <w:t>48,516 SF</w:t>
            </w:r>
          </w:p>
        </w:tc>
        <w:tc>
          <w:tcPr>
            <w:tcW w:type="dxa" w:w="3600"/>
          </w:tcPr>
          <w:p>
            <w:pPr>
              <w:jc w:val="left"/>
            </w:pPr>
            <w:r/>
            <w:r>
              <w:rPr>
                <w:rFonts w:ascii="Arial" w:hAnsi="Arial"/>
                <w:b w:val="0"/>
                <w:sz w:val="18"/>
              </w:rPr>
              <w:t>1.114 acres</w:t>
            </w:r>
          </w:p>
        </w:tc>
      </w:tr>
      <w:tr>
        <w:tc>
          <w:tcPr>
            <w:tcW w:type="dxa" w:w="3600"/>
            <w:shd w:fill="F2F2F2" w:val="clear"/>
          </w:tcPr>
          <w:p>
            <w:pPr>
              <w:jc w:val="left"/>
            </w:pPr>
            <w:r/>
            <w:r>
              <w:rPr>
                <w:rFonts w:ascii="Arial" w:hAnsi="Arial"/>
                <w:b w:val="0"/>
                <w:sz w:val="18"/>
              </w:rPr>
              <w:t>GIS Area</w:t>
            </w:r>
          </w:p>
        </w:tc>
        <w:tc>
          <w:tcPr>
            <w:tcW w:type="dxa" w:w="2880"/>
            <w:shd w:fill="F2F2F2" w:val="clear"/>
          </w:tcPr>
          <w:p>
            <w:pPr>
              <w:jc w:val="left"/>
            </w:pPr>
            <w:r/>
            <w:r>
              <w:rPr>
                <w:rFonts w:ascii="Arial" w:hAnsi="Arial"/>
                <w:b w:val="0"/>
                <w:sz w:val="18"/>
              </w:rPr>
              <w:t>48,424 SF</w:t>
            </w:r>
          </w:p>
        </w:tc>
        <w:tc>
          <w:tcPr>
            <w:tcW w:type="dxa" w:w="3600"/>
            <w:shd w:fill="F2F2F2" w:val="clear"/>
          </w:tcPr>
          <w:p>
            <w:pPr>
              <w:jc w:val="left"/>
            </w:pPr>
            <w:r/>
            <w:r>
              <w:rPr>
                <w:rFonts w:ascii="Arial" w:hAnsi="Arial"/>
                <w:b w:val="0"/>
                <w:sz w:val="18"/>
              </w:rPr>
              <w:t>1.11 acres</w:t>
            </w:r>
          </w:p>
        </w:tc>
      </w:tr>
      <w:tr>
        <w:tc>
          <w:tcPr>
            <w:tcW w:type="dxa" w:w="3600"/>
          </w:tcPr>
          <w:p>
            <w:pPr>
              <w:jc w:val="left"/>
            </w:pPr>
            <w:r/>
            <w:r>
              <w:rPr>
                <w:rFonts w:ascii="Arial" w:hAnsi="Arial"/>
                <w:b w:val="0"/>
                <w:sz w:val="18"/>
              </w:rPr>
              <w:t>BCPAO Recorded</w:t>
            </w:r>
          </w:p>
        </w:tc>
        <w:tc>
          <w:tcPr>
            <w:tcW w:type="dxa" w:w="2880"/>
          </w:tcPr>
          <w:p>
            <w:pPr>
              <w:jc w:val="left"/>
            </w:pPr>
            <w:r/>
            <w:r>
              <w:rPr>
                <w:rFonts w:ascii="Arial" w:hAnsi="Arial"/>
                <w:b w:val="0"/>
                <w:sz w:val="18"/>
              </w:rPr>
              <w:t>47,916 SF</w:t>
            </w:r>
          </w:p>
        </w:tc>
        <w:tc>
          <w:tcPr>
            <w:tcW w:type="dxa" w:w="3600"/>
          </w:tcPr>
          <w:p>
            <w:pPr>
              <w:jc w:val="left"/>
            </w:pPr>
            <w:r/>
            <w:r>
              <w:rPr>
                <w:rFonts w:ascii="Arial" w:hAnsi="Arial"/>
                <w:b w:val="0"/>
                <w:sz w:val="18"/>
              </w:rPr>
              <w:t>1.10 acres</w:t>
            </w:r>
          </w:p>
        </w:tc>
      </w:tr>
      <w:tr>
        <w:tc>
          <w:tcPr>
            <w:tcW w:type="dxa" w:w="3600"/>
            <w:shd w:fill="F2F2F2" w:val="clear"/>
          </w:tcPr>
          <w:p>
            <w:pPr>
              <w:jc w:val="left"/>
            </w:pPr>
            <w:r/>
            <w:r>
              <w:rPr>
                <w:rFonts w:ascii="Arial" w:hAnsi="Arial"/>
                <w:b w:val="0"/>
                <w:sz w:val="18"/>
              </w:rPr>
              <w:t>Perimeter</w:t>
            </w:r>
          </w:p>
        </w:tc>
        <w:tc>
          <w:tcPr>
            <w:tcW w:type="dxa" w:w="2880"/>
            <w:shd w:fill="F2F2F2" w:val="clear"/>
          </w:tcPr>
          <w:p>
            <w:pPr>
              <w:jc w:val="left"/>
            </w:pPr>
            <w:r/>
            <w:r>
              <w:rPr>
                <w:rFonts w:ascii="Arial" w:hAnsi="Arial"/>
                <w:b w:val="0"/>
                <w:sz w:val="18"/>
              </w:rPr>
              <w:t>891.82 ft</w:t>
            </w:r>
          </w:p>
        </w:tc>
        <w:tc>
          <w:tcPr>
            <w:tcW w:type="dxa" w:w="3600"/>
            <w:shd w:fill="F2F2F2" w:val="clear"/>
          </w:tcPr>
          <w:p>
            <w:pPr>
              <w:jc w:val="left"/>
            </w:pPr>
            <w:r/>
            <w:r>
              <w:rPr>
                <w:rFonts w:ascii="Arial" w:hAnsi="Arial"/>
                <w:b w:val="0"/>
                <w:sz w:val="18"/>
              </w:rPr>
              <w:t>(GIS = computed)</w:t>
            </w:r>
          </w:p>
        </w:tc>
      </w:tr>
    </w:tbl>
    <w:p>
      <w:r>
        <w:rPr>
          <w:rFonts w:ascii="Arial" w:hAnsi="Arial"/>
          <w:b w:val="0"/>
          <w:i w:val="0"/>
          <w:sz w:val="20"/>
        </w:rPr>
      </w:r>
    </w:p>
    <w:p>
      <w:r>
        <w:rPr>
          <w:rFonts w:ascii="Arial" w:hAnsi="Arial"/>
          <w:b/>
          <w:i w:val="0"/>
          <w:sz w:val="20"/>
        </w:rPr>
        <w:t>Buildable Area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fill="1E3A5F" w:val="clear"/>
          </w:tcPr>
          <w:p>
            <w:pPr>
              <w:jc w:val="center"/>
            </w:pPr>
            <w:r>
              <w:rPr>
                <w:rFonts w:ascii="Arial" w:hAnsi="Arial"/>
                <w:b/>
                <w:color w:val="FFFFFF"/>
                <w:sz w:val="18"/>
              </w:rPr>
            </w:r>
            <w:r>
              <w:rPr>
                <w:rFonts w:ascii="Arial" w:hAnsi="Arial"/>
                <w:b/>
                <w:color w:val="FFFFFF"/>
                <w:sz w:val="18"/>
              </w:rPr>
              <w:t>Description</w:t>
            </w:r>
          </w:p>
        </w:tc>
        <w:tc>
          <w:tcPr>
            <w:tcW w:type="dxa" w:w="1872"/>
            <w:shd w:fill="1E3A5F" w:val="clear"/>
          </w:tcPr>
          <w:p>
            <w:pPr>
              <w:jc w:val="center"/>
            </w:pPr>
            <w:r>
              <w:rPr>
                <w:rFonts w:ascii="Arial" w:hAnsi="Arial"/>
                <w:b/>
                <w:color w:val="FFFFFF"/>
                <w:sz w:val="18"/>
              </w:rPr>
            </w:r>
            <w:r>
              <w:rPr>
                <w:rFonts w:ascii="Arial" w:hAnsi="Arial"/>
                <w:b/>
                <w:color w:val="FFFFFF"/>
                <w:sz w:val="18"/>
              </w:rPr>
              <w:t>Square Feet</w:t>
            </w:r>
          </w:p>
        </w:tc>
        <w:tc>
          <w:tcPr>
            <w:tcW w:type="dxa" w:w="1440"/>
            <w:shd w:fill="1E3A5F" w:val="clear"/>
          </w:tcPr>
          <w:p>
            <w:pPr>
              <w:jc w:val="center"/>
            </w:pPr>
            <w:r>
              <w:rPr>
                <w:rFonts w:ascii="Arial" w:hAnsi="Arial"/>
                <w:b/>
                <w:color w:val="FFFFFF"/>
                <w:sz w:val="18"/>
              </w:rPr>
            </w:r>
            <w:r>
              <w:rPr>
                <w:rFonts w:ascii="Arial" w:hAnsi="Arial"/>
                <w:b/>
                <w:color w:val="FFFFFF"/>
                <w:sz w:val="18"/>
              </w:rPr>
              <w:t>Acres</w:t>
            </w:r>
          </w:p>
        </w:tc>
        <w:tc>
          <w:tcPr>
            <w:tcW w:type="dxa" w:w="1728"/>
            <w:shd w:fill="1E3A5F" w:val="clear"/>
          </w:tcPr>
          <w:p>
            <w:pPr>
              <w:jc w:val="center"/>
            </w:pPr>
            <w:r>
              <w:rPr>
                <w:rFonts w:ascii="Arial" w:hAnsi="Arial"/>
                <w:b/>
                <w:color w:val="FFFFFF"/>
                <w:sz w:val="18"/>
              </w:rPr>
            </w:r>
            <w:r>
              <w:rPr>
                <w:rFonts w:ascii="Arial" w:hAnsi="Arial"/>
                <w:b/>
                <w:color w:val="FFFFFF"/>
                <w:sz w:val="18"/>
              </w:rPr>
              <w:t>% of Parcel</w:t>
            </w:r>
          </w:p>
        </w:tc>
      </w:tr>
      <w:tr>
        <w:tc>
          <w:tcPr>
            <w:tcW w:type="dxa" w:w="4032"/>
          </w:tcPr>
          <w:p>
            <w:pPr>
              <w:jc w:val="left"/>
            </w:pPr>
            <w:r/>
            <w:r>
              <w:rPr>
                <w:rFonts w:ascii="Arial" w:hAnsi="Arial"/>
                <w:b w:val="0"/>
                <w:sz w:val="18"/>
              </w:rPr>
              <w:t>Total Parcel</w:t>
            </w:r>
          </w:p>
        </w:tc>
        <w:tc>
          <w:tcPr>
            <w:tcW w:type="dxa" w:w="1872"/>
          </w:tcPr>
          <w:p>
            <w:pPr>
              <w:jc w:val="left"/>
            </w:pPr>
            <w:r/>
            <w:r>
              <w:rPr>
                <w:rFonts w:ascii="Arial" w:hAnsi="Arial"/>
                <w:b w:val="0"/>
                <w:sz w:val="18"/>
              </w:rPr>
              <w:t>48,516</w:t>
            </w:r>
          </w:p>
        </w:tc>
        <w:tc>
          <w:tcPr>
            <w:tcW w:type="dxa" w:w="1440"/>
          </w:tcPr>
          <w:p>
            <w:pPr>
              <w:jc w:val="left"/>
            </w:pPr>
            <w:r/>
            <w:r>
              <w:rPr>
                <w:rFonts w:ascii="Arial" w:hAnsi="Arial"/>
                <w:b w:val="0"/>
                <w:sz w:val="18"/>
              </w:rPr>
              <w:t>1.114</w:t>
            </w:r>
          </w:p>
        </w:tc>
        <w:tc>
          <w:tcPr>
            <w:tcW w:type="dxa" w:w="1728"/>
          </w:tcPr>
          <w:p>
            <w:pPr>
              <w:jc w:val="left"/>
            </w:pPr>
            <w:r/>
            <w:r>
              <w:rPr>
                <w:rFonts w:ascii="Arial" w:hAnsi="Arial"/>
                <w:b w:val="0"/>
                <w:sz w:val="18"/>
              </w:rPr>
              <w:t>100%</w:t>
            </w:r>
          </w:p>
        </w:tc>
      </w:tr>
      <w:tr>
        <w:tc>
          <w:tcPr>
            <w:tcW w:type="dxa" w:w="4032"/>
            <w:shd w:fill="F2F2F2" w:val="clear"/>
          </w:tcPr>
          <w:p>
            <w:pPr>
              <w:jc w:val="left"/>
            </w:pPr>
            <w:r/>
            <w:r>
              <w:rPr>
                <w:rFonts w:ascii="Arial" w:hAnsi="Arial"/>
                <w:b w:val="0"/>
                <w:sz w:val="18"/>
              </w:rPr>
              <w:t>Wellhead Easement</w:t>
            </w:r>
          </w:p>
        </w:tc>
        <w:tc>
          <w:tcPr>
            <w:tcW w:type="dxa" w:w="1872"/>
            <w:shd w:fill="F2F2F2" w:val="clear"/>
          </w:tcPr>
          <w:p>
            <w:pPr>
              <w:jc w:val="left"/>
            </w:pPr>
            <w:r/>
            <w:r>
              <w:rPr>
                <w:rFonts w:ascii="Arial" w:hAnsi="Arial"/>
                <w:b w:val="0"/>
                <w:sz w:val="18"/>
              </w:rPr>
              <w:t>22,803</w:t>
            </w:r>
          </w:p>
        </w:tc>
        <w:tc>
          <w:tcPr>
            <w:tcW w:type="dxa" w:w="1440"/>
            <w:shd w:fill="F2F2F2" w:val="clear"/>
          </w:tcPr>
          <w:p>
            <w:pPr>
              <w:jc w:val="left"/>
            </w:pPr>
            <w:r/>
            <w:r>
              <w:rPr>
                <w:rFonts w:ascii="Arial" w:hAnsi="Arial"/>
                <w:b w:val="0"/>
                <w:sz w:val="18"/>
              </w:rPr>
              <w:t>0.524</w:t>
            </w:r>
          </w:p>
        </w:tc>
        <w:tc>
          <w:tcPr>
            <w:tcW w:type="dxa" w:w="1728"/>
            <w:shd w:fill="F2F2F2" w:val="clear"/>
          </w:tcPr>
          <w:p>
            <w:pPr>
              <w:jc w:val="left"/>
            </w:pPr>
            <w:r/>
            <w:r>
              <w:rPr>
                <w:rFonts w:ascii="Arial" w:hAnsi="Arial"/>
                <w:b w:val="0"/>
                <w:sz w:val="18"/>
              </w:rPr>
              <w:t>47%</w:t>
            </w:r>
          </w:p>
        </w:tc>
      </w:tr>
      <w:tr>
        <w:tc>
          <w:tcPr>
            <w:tcW w:type="dxa" w:w="4032"/>
          </w:tcPr>
          <w:p>
            <w:pPr>
              <w:jc w:val="left"/>
            </w:pPr>
            <w:r/>
            <w:r>
              <w:rPr>
                <w:rFonts w:ascii="Arial" w:hAnsi="Arial"/>
                <w:b w:val="0"/>
                <w:sz w:val="18"/>
              </w:rPr>
              <w:t>Net (excl. wellhead)</w:t>
            </w:r>
          </w:p>
        </w:tc>
        <w:tc>
          <w:tcPr>
            <w:tcW w:type="dxa" w:w="1872"/>
          </w:tcPr>
          <w:p>
            <w:pPr>
              <w:jc w:val="left"/>
            </w:pPr>
            <w:r/>
            <w:r>
              <w:rPr>
                <w:rFonts w:ascii="Arial" w:hAnsi="Arial"/>
                <w:b w:val="0"/>
                <w:sz w:val="18"/>
              </w:rPr>
              <w:t>25,713</w:t>
            </w:r>
          </w:p>
        </w:tc>
        <w:tc>
          <w:tcPr>
            <w:tcW w:type="dxa" w:w="1440"/>
          </w:tcPr>
          <w:p>
            <w:pPr>
              <w:jc w:val="left"/>
            </w:pPr>
            <w:r/>
            <w:r>
              <w:rPr>
                <w:rFonts w:ascii="Arial" w:hAnsi="Arial"/>
                <w:b w:val="0"/>
                <w:sz w:val="18"/>
              </w:rPr>
              <w:t>0.590</w:t>
            </w:r>
          </w:p>
        </w:tc>
        <w:tc>
          <w:tcPr>
            <w:tcW w:type="dxa" w:w="1728"/>
          </w:tcPr>
          <w:p>
            <w:pPr>
              <w:jc w:val="left"/>
            </w:pPr>
            <w:r/>
            <w:r>
              <w:rPr>
                <w:rFonts w:ascii="Arial" w:hAnsi="Arial"/>
                <w:b w:val="0"/>
                <w:sz w:val="18"/>
              </w:rPr>
              <w:t>53%</w:t>
            </w:r>
          </w:p>
        </w:tc>
      </w:tr>
      <w:tr>
        <w:tc>
          <w:tcPr>
            <w:tcW w:type="dxa" w:w="4032"/>
            <w:shd w:fill="F2F2F2" w:val="clear"/>
          </w:tcPr>
          <w:p>
            <w:pPr>
              <w:jc w:val="left"/>
            </w:pPr>
            <w:r/>
            <w:r>
              <w:rPr>
                <w:rFonts w:ascii="Arial" w:hAnsi="Arial"/>
                <w:b w:val="0"/>
                <w:sz w:val="18"/>
              </w:rPr>
              <w:t>Net after setbacks (2-story, 25ft)</w:t>
            </w:r>
          </w:p>
        </w:tc>
        <w:tc>
          <w:tcPr>
            <w:tcW w:type="dxa" w:w="1872"/>
            <w:shd w:fill="F2F2F2" w:val="clear"/>
          </w:tcPr>
          <w:p>
            <w:pPr>
              <w:jc w:val="left"/>
            </w:pPr>
            <w:r/>
            <w:r>
              <w:rPr>
                <w:rFonts w:ascii="Arial" w:hAnsi="Arial"/>
                <w:b w:val="0"/>
                <w:sz w:val="18"/>
              </w:rPr>
              <w:t>14,555</w:t>
            </w:r>
          </w:p>
        </w:tc>
        <w:tc>
          <w:tcPr>
            <w:tcW w:type="dxa" w:w="1440"/>
            <w:shd w:fill="F2F2F2" w:val="clear"/>
          </w:tcPr>
          <w:p>
            <w:pPr>
              <w:jc w:val="left"/>
            </w:pPr>
            <w:r/>
            <w:r>
              <w:rPr>
                <w:rFonts w:ascii="Arial" w:hAnsi="Arial"/>
                <w:b w:val="0"/>
                <w:sz w:val="18"/>
              </w:rPr>
              <w:t>0.334</w:t>
            </w:r>
          </w:p>
        </w:tc>
        <w:tc>
          <w:tcPr>
            <w:tcW w:type="dxa" w:w="1728"/>
            <w:shd w:fill="F2F2F2" w:val="clear"/>
          </w:tcPr>
          <w:p>
            <w:pPr>
              <w:jc w:val="left"/>
            </w:pPr>
            <w:r/>
            <w:r>
              <w:rPr>
                <w:rFonts w:ascii="Arial" w:hAnsi="Arial"/>
                <w:b w:val="0"/>
                <w:sz w:val="18"/>
              </w:rPr>
              <w:t>30.0%</w:t>
            </w:r>
          </w:p>
        </w:tc>
      </w:tr>
      <w:tr>
        <w:tc>
          <w:tcPr>
            <w:tcW w:type="dxa" w:w="4032"/>
          </w:tcPr>
          <w:p>
            <w:pPr>
              <w:jc w:val="left"/>
            </w:pPr>
            <w:r/>
            <w:r>
              <w:rPr>
                <w:rFonts w:ascii="Arial" w:hAnsi="Arial"/>
                <w:b w:val="0"/>
                <w:sz w:val="18"/>
              </w:rPr>
              <w:t>Net after setbacks (3-story, 35ft)</w:t>
            </w:r>
          </w:p>
        </w:tc>
        <w:tc>
          <w:tcPr>
            <w:tcW w:type="dxa" w:w="1872"/>
          </w:tcPr>
          <w:p>
            <w:pPr>
              <w:jc w:val="left"/>
            </w:pPr>
            <w:r/>
            <w:r>
              <w:rPr>
                <w:rFonts w:ascii="Arial" w:hAnsi="Arial"/>
                <w:b w:val="0"/>
                <w:sz w:val="18"/>
              </w:rPr>
              <w:t>11,325</w:t>
            </w:r>
          </w:p>
        </w:tc>
        <w:tc>
          <w:tcPr>
            <w:tcW w:type="dxa" w:w="1440"/>
          </w:tcPr>
          <w:p>
            <w:pPr>
              <w:jc w:val="left"/>
            </w:pPr>
            <w:r/>
            <w:r>
              <w:rPr>
                <w:rFonts w:ascii="Arial" w:hAnsi="Arial"/>
                <w:b w:val="0"/>
                <w:sz w:val="18"/>
              </w:rPr>
              <w:t>0.260</w:t>
            </w:r>
          </w:p>
        </w:tc>
        <w:tc>
          <w:tcPr>
            <w:tcW w:type="dxa" w:w="1728"/>
          </w:tcPr>
          <w:p>
            <w:pPr>
              <w:jc w:val="left"/>
            </w:pPr>
            <w:r/>
            <w:r>
              <w:rPr>
                <w:rFonts w:ascii="Arial" w:hAnsi="Arial"/>
                <w:b w:val="0"/>
                <w:sz w:val="18"/>
              </w:rPr>
              <w:t>23.3%</w:t>
            </w:r>
          </w:p>
        </w:tc>
      </w:tr>
      <w:tr>
        <w:tc>
          <w:tcPr>
            <w:tcW w:type="dxa" w:w="4032"/>
            <w:shd w:fill="F2F2F2" w:val="clear"/>
          </w:tcPr>
          <w:p>
            <w:pPr>
              <w:jc w:val="left"/>
            </w:pPr>
            <w:r/>
            <w:r>
              <w:rPr>
                <w:rFonts w:ascii="Arial" w:hAnsi="Arial"/>
                <w:b w:val="0"/>
                <w:sz w:val="18"/>
              </w:rPr>
              <w:t>Net after setbacks (4-story, 40ft)</w:t>
            </w:r>
          </w:p>
        </w:tc>
        <w:tc>
          <w:tcPr>
            <w:tcW w:type="dxa" w:w="1872"/>
            <w:shd w:fill="F2F2F2" w:val="clear"/>
          </w:tcPr>
          <w:p>
            <w:pPr>
              <w:jc w:val="left"/>
            </w:pPr>
            <w:r/>
            <w:r>
              <w:rPr>
                <w:rFonts w:ascii="Arial" w:hAnsi="Arial"/>
                <w:b w:val="0"/>
                <w:sz w:val="18"/>
              </w:rPr>
              <w:t>9,861</w:t>
            </w:r>
          </w:p>
        </w:tc>
        <w:tc>
          <w:tcPr>
            <w:tcW w:type="dxa" w:w="1440"/>
            <w:shd w:fill="F2F2F2" w:val="clear"/>
          </w:tcPr>
          <w:p>
            <w:pPr>
              <w:jc w:val="left"/>
            </w:pPr>
            <w:r/>
            <w:r>
              <w:rPr>
                <w:rFonts w:ascii="Arial" w:hAnsi="Arial"/>
                <w:b w:val="0"/>
                <w:sz w:val="18"/>
              </w:rPr>
              <w:t>0.226</w:t>
            </w:r>
          </w:p>
        </w:tc>
        <w:tc>
          <w:tcPr>
            <w:tcW w:type="dxa" w:w="1728"/>
            <w:shd w:fill="F2F2F2" w:val="clear"/>
          </w:tcPr>
          <w:p>
            <w:pPr>
              <w:jc w:val="left"/>
            </w:pPr>
            <w:r/>
            <w:r>
              <w:rPr>
                <w:rFonts w:ascii="Arial" w:hAnsi="Arial"/>
                <w:b w:val="0"/>
                <w:sz w:val="18"/>
              </w:rPr>
              <w:t>20.3%</w:t>
            </w:r>
          </w:p>
        </w:tc>
      </w:tr>
    </w:tbl>
    <w:p>
      <w:r>
        <w:rPr>
          <w:rFonts w:ascii="Arial" w:hAnsi="Arial"/>
          <w:b w:val="0"/>
          <w:i w:val="0"/>
          <w:sz w:val="20"/>
        </w:rPr>
      </w:r>
    </w:p>
    <w:p>
      <w:r>
        <w:rPr>
          <w:rFonts w:ascii="Arial" w:hAnsi="Arial"/>
          <w:b/>
          <w:i w:val="0"/>
          <w:sz w:val="20"/>
        </w:rPr>
        <w:t>Wellhead Protection Easement</w:t>
      </w:r>
    </w:p>
    <w:p>
      <w:r>
        <w:rPr>
          <w:rFonts w:ascii="Arial" w:hAnsi="Arial"/>
          <w:b w:val="0"/>
          <w:i w:val="0"/>
          <w:sz w:val="20"/>
        </w:rPr>
        <w:t>A 200-foot radius circular easement around a City of Palm Bay public water supply well covers the western 47% of the parcel (22,803 SF). Per Florida DEP Chapter 62-521 FAC, no new construction, impervious surfaces, or regulated substance storage is permitted within this zone. Surface parking may be allowed (survey annotates "PARKING" in this area). The well may be decommissioned in ~10 years per Palm Bay Utilities (Tim Roberts, Sept 11, 2025).</w:t>
      </w:r>
    </w:p>
    <w:p>
      <w:r>
        <w:br w:type="page"/>
      </w:r>
    </w:p>
    <w:p>
      <w:pPr>
        <w:pStyle w:val="Heading1"/>
      </w:pPr>
      <w:r>
        <w:rPr>
          <w:rFonts w:ascii="Arial" w:hAnsi="Arial"/>
          <w:color w:val="1E3A5F"/>
        </w:rPr>
        <w:t>Section 4: Environmental Constraints</w:t>
      </w:r>
    </w:p>
    <w:p>
      <w:r>
        <w:rPr>
          <w:rFonts w:ascii="Arial" w:hAnsi="Arial"/>
          <w:b/>
          <w:i w:val="0"/>
          <w:sz w:val="20"/>
        </w:rPr>
        <w:t>FEMA Flood Zone</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Item</w:t>
            </w:r>
          </w:p>
        </w:tc>
        <w:tc>
          <w:tcPr>
            <w:tcW w:type="dxa" w:w="6480"/>
            <w:shd w:fill="1E3A5F" w:val="clear"/>
          </w:tcPr>
          <w:p>
            <w:pPr>
              <w:jc w:val="center"/>
            </w:pPr>
            <w:r>
              <w:rPr>
                <w:rFonts w:ascii="Arial" w:hAnsi="Arial"/>
                <w:b/>
                <w:color w:val="FFFFFF"/>
                <w:sz w:val="18"/>
              </w:rPr>
            </w:r>
            <w:r>
              <w:rPr>
                <w:rFonts w:ascii="Arial" w:hAnsi="Arial"/>
                <w:b/>
                <w:color w:val="FFFFFF"/>
                <w:sz w:val="18"/>
              </w:rPr>
              <w:t>Detail</w:t>
            </w:r>
          </w:p>
        </w:tc>
      </w:tr>
      <w:tr>
        <w:tc>
          <w:tcPr>
            <w:tcW w:type="dxa" w:w="3600"/>
          </w:tcPr>
          <w:p>
            <w:pPr>
              <w:jc w:val="left"/>
            </w:pPr>
            <w:r/>
            <w:r>
              <w:rPr>
                <w:rFonts w:ascii="Arial" w:hAnsi="Arial"/>
                <w:b w:val="0"/>
                <w:sz w:val="18"/>
              </w:rPr>
              <w:t>Flood Zone</w:t>
            </w:r>
          </w:p>
        </w:tc>
        <w:tc>
          <w:tcPr>
            <w:tcW w:type="dxa" w:w="6480"/>
          </w:tcPr>
          <w:p>
            <w:pPr>
              <w:jc w:val="left"/>
            </w:pPr>
            <w:r/>
            <w:r>
              <w:rPr>
                <w:rFonts w:ascii="Arial" w:hAnsi="Arial"/>
                <w:b w:val="0"/>
                <w:sz w:val="18"/>
              </w:rPr>
              <w:t>A (Special Flood Hazard Area)</w:t>
            </w:r>
          </w:p>
        </w:tc>
      </w:tr>
      <w:tr>
        <w:tc>
          <w:tcPr>
            <w:tcW w:type="dxa" w:w="3600"/>
            <w:shd w:fill="F2F2F2" w:val="clear"/>
          </w:tcPr>
          <w:p>
            <w:pPr>
              <w:jc w:val="left"/>
            </w:pPr>
            <w:r/>
            <w:r>
              <w:rPr>
                <w:rFonts w:ascii="Arial" w:hAnsi="Arial"/>
                <w:b w:val="0"/>
                <w:sz w:val="18"/>
              </w:rPr>
              <w:t>SFHA</w:t>
            </w:r>
          </w:p>
        </w:tc>
        <w:tc>
          <w:tcPr>
            <w:tcW w:type="dxa" w:w="6480"/>
            <w:shd w:fill="F2F2F2" w:val="clear"/>
          </w:tcPr>
          <w:p>
            <w:pPr>
              <w:jc w:val="left"/>
            </w:pPr>
            <w:r/>
            <w:r>
              <w:rPr>
                <w:rFonts w:ascii="Arial" w:hAnsi="Arial"/>
                <w:b w:val="0"/>
                <w:sz w:val="18"/>
              </w:rPr>
              <w:t>Yes — 1% annual chance (100-year) flood</w:t>
            </w:r>
          </w:p>
        </w:tc>
      </w:tr>
      <w:tr>
        <w:tc>
          <w:tcPr>
            <w:tcW w:type="dxa" w:w="3600"/>
          </w:tcPr>
          <w:p>
            <w:pPr>
              <w:jc w:val="left"/>
            </w:pPr>
            <w:r/>
            <w:r>
              <w:rPr>
                <w:rFonts w:ascii="Arial" w:hAnsi="Arial"/>
                <w:b w:val="0"/>
                <w:sz w:val="18"/>
              </w:rPr>
              <w:t>Base Flood Elevation</w:t>
            </w:r>
          </w:p>
        </w:tc>
        <w:tc>
          <w:tcPr>
            <w:tcW w:type="dxa" w:w="6480"/>
          </w:tcPr>
          <w:p>
            <w:pPr>
              <w:jc w:val="left"/>
            </w:pPr>
            <w:r/>
            <w:r>
              <w:rPr>
                <w:rFonts w:ascii="Arial" w:hAnsi="Arial"/>
                <w:b w:val="0"/>
                <w:sz w:val="18"/>
              </w:rPr>
              <w:t>NOT DETERMINED (Study Type: NP)</w:t>
            </w:r>
          </w:p>
        </w:tc>
      </w:tr>
      <w:tr>
        <w:tc>
          <w:tcPr>
            <w:tcW w:type="dxa" w:w="3600"/>
            <w:shd w:fill="F2F2F2" w:val="clear"/>
          </w:tcPr>
          <w:p>
            <w:pPr>
              <w:jc w:val="left"/>
            </w:pPr>
            <w:r/>
            <w:r>
              <w:rPr>
                <w:rFonts w:ascii="Arial" w:hAnsi="Arial"/>
                <w:b w:val="0"/>
                <w:sz w:val="18"/>
              </w:rPr>
              <w:t>DFIRM ID</w:t>
            </w:r>
          </w:p>
        </w:tc>
        <w:tc>
          <w:tcPr>
            <w:tcW w:type="dxa" w:w="6480"/>
            <w:shd w:fill="F2F2F2" w:val="clear"/>
          </w:tcPr>
          <w:p>
            <w:pPr>
              <w:jc w:val="left"/>
            </w:pPr>
            <w:r/>
            <w:r>
              <w:rPr>
                <w:rFonts w:ascii="Arial" w:hAnsi="Arial"/>
                <w:b w:val="0"/>
                <w:sz w:val="18"/>
              </w:rPr>
              <w:t>12009C</w:t>
            </w:r>
          </w:p>
        </w:tc>
      </w:tr>
      <w:tr>
        <w:tc>
          <w:tcPr>
            <w:tcW w:type="dxa" w:w="3600"/>
          </w:tcPr>
          <w:p>
            <w:pPr>
              <w:jc w:val="left"/>
            </w:pPr>
            <w:r/>
            <w:r>
              <w:rPr>
                <w:rFonts w:ascii="Arial" w:hAnsi="Arial"/>
                <w:b w:val="0"/>
                <w:sz w:val="18"/>
              </w:rPr>
              <w:t>CRS Rating</w:t>
            </w:r>
          </w:p>
        </w:tc>
        <w:tc>
          <w:tcPr>
            <w:tcW w:type="dxa" w:w="6480"/>
          </w:tcPr>
          <w:p>
            <w:pPr>
              <w:jc w:val="left"/>
            </w:pPr>
            <w:r/>
            <w:r>
              <w:rPr>
                <w:rFonts w:ascii="Arial" w:hAnsi="Arial"/>
                <w:b w:val="0"/>
                <w:sz w:val="18"/>
              </w:rPr>
              <w:t>7 (15% flood insurance discount)</w:t>
            </w:r>
          </w:p>
        </w:tc>
      </w:tr>
      <w:tr>
        <w:tc>
          <w:tcPr>
            <w:tcW w:type="dxa" w:w="3600"/>
            <w:shd w:fill="F2F2F2" w:val="clear"/>
          </w:tcPr>
          <w:p>
            <w:pPr>
              <w:jc w:val="left"/>
            </w:pPr>
            <w:r/>
            <w:r>
              <w:rPr>
                <w:rFonts w:ascii="Arial" w:hAnsi="Arial"/>
                <w:b w:val="0"/>
                <w:sz w:val="18"/>
              </w:rPr>
              <w:t>Flood Study Cost</w:t>
            </w:r>
          </w:p>
        </w:tc>
        <w:tc>
          <w:tcPr>
            <w:tcW w:type="dxa" w:w="6480"/>
            <w:shd w:fill="F2F2F2" w:val="clear"/>
          </w:tcPr>
          <w:p>
            <w:pPr>
              <w:jc w:val="left"/>
            </w:pPr>
            <w:r/>
            <w:r>
              <w:rPr>
                <w:rFonts w:ascii="Arial" w:hAnsi="Arial"/>
                <w:b w:val="0"/>
                <w:sz w:val="18"/>
              </w:rPr>
              <w:t>$5,000 - $25,000 (HEC-RAS hydraulic modeling)</w:t>
            </w:r>
          </w:p>
        </w:tc>
      </w:tr>
    </w:tbl>
    <w:p>
      <w:r>
        <w:rPr>
          <w:rFonts w:ascii="Arial" w:hAnsi="Arial"/>
          <w:b w:val="0"/>
          <w:i w:val="0"/>
          <w:sz w:val="20"/>
        </w:rPr>
      </w:r>
    </w:p>
    <w:p>
      <w:r>
        <w:rPr>
          <w:rFonts w:ascii="Arial" w:hAnsi="Arial"/>
          <w:b w:val="0"/>
          <w:i w:val="0"/>
          <w:sz w:val="20"/>
        </w:rPr>
        <w:t>The entire parcel is in FEMA Zone A with no published Base Flood Elevation. The developer must commission a hydraulic study (HEC-RAS modeling) to establish BFE before any building design can proceed. All habitable floors must be elevated above BFE plus 1 foot minimum freeboard per Florida Building Code.</w:t>
      </w:r>
    </w:p>
    <w:p>
      <w:r>
        <w:rPr>
          <w:rFonts w:ascii="Arial" w:hAnsi="Arial"/>
          <w:b w:val="0"/>
          <w:i w:val="0"/>
          <w:sz w:val="20"/>
        </w:rPr>
      </w:r>
    </w:p>
    <w:p>
      <w:r>
        <w:rPr>
          <w:rFonts w:ascii="Arial" w:hAnsi="Arial"/>
          <w:b/>
          <w:i w:val="0"/>
          <w:sz w:val="20"/>
        </w:rPr>
        <w:t>National Wetlands Inventory (NWI)</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Item</w:t>
            </w:r>
          </w:p>
        </w:tc>
        <w:tc>
          <w:tcPr>
            <w:tcW w:type="dxa" w:w="6480"/>
            <w:shd w:fill="1E3A5F" w:val="clear"/>
          </w:tcPr>
          <w:p>
            <w:pPr>
              <w:jc w:val="center"/>
            </w:pPr>
            <w:r>
              <w:rPr>
                <w:rFonts w:ascii="Arial" w:hAnsi="Arial"/>
                <w:b/>
                <w:color w:val="FFFFFF"/>
                <w:sz w:val="18"/>
              </w:rPr>
            </w:r>
            <w:r>
              <w:rPr>
                <w:rFonts w:ascii="Arial" w:hAnsi="Arial"/>
                <w:b/>
                <w:color w:val="FFFFFF"/>
                <w:sz w:val="18"/>
              </w:rPr>
              <w:t>Detail</w:t>
            </w:r>
          </w:p>
        </w:tc>
      </w:tr>
      <w:tr>
        <w:tc>
          <w:tcPr>
            <w:tcW w:type="dxa" w:w="3600"/>
          </w:tcPr>
          <w:p>
            <w:pPr>
              <w:jc w:val="left"/>
            </w:pPr>
            <w:r/>
            <w:r>
              <w:rPr>
                <w:rFonts w:ascii="Arial" w:hAnsi="Arial"/>
                <w:b w:val="0"/>
                <w:sz w:val="18"/>
              </w:rPr>
              <w:t>NWI Code</w:t>
            </w:r>
          </w:p>
        </w:tc>
        <w:tc>
          <w:tcPr>
            <w:tcW w:type="dxa" w:w="6480"/>
          </w:tcPr>
          <w:p>
            <w:pPr>
              <w:jc w:val="left"/>
            </w:pPr>
            <w:r/>
            <w:r>
              <w:rPr>
                <w:rFonts w:ascii="Arial" w:hAnsi="Arial"/>
                <w:b w:val="0"/>
                <w:sz w:val="18"/>
              </w:rPr>
              <w:t>PEM1Cd</w:t>
            </w:r>
          </w:p>
        </w:tc>
      </w:tr>
      <w:tr>
        <w:tc>
          <w:tcPr>
            <w:tcW w:type="dxa" w:w="3600"/>
            <w:shd w:fill="F2F2F2" w:val="clear"/>
          </w:tcPr>
          <w:p>
            <w:pPr>
              <w:jc w:val="left"/>
            </w:pPr>
            <w:r/>
            <w:r>
              <w:rPr>
                <w:rFonts w:ascii="Arial" w:hAnsi="Arial"/>
                <w:b w:val="0"/>
                <w:sz w:val="18"/>
              </w:rPr>
              <w:t>Type</w:t>
            </w:r>
          </w:p>
        </w:tc>
        <w:tc>
          <w:tcPr>
            <w:tcW w:type="dxa" w:w="6480"/>
            <w:shd w:fill="F2F2F2" w:val="clear"/>
          </w:tcPr>
          <w:p>
            <w:pPr>
              <w:jc w:val="left"/>
            </w:pPr>
            <w:r/>
            <w:r>
              <w:rPr>
                <w:rFonts w:ascii="Arial" w:hAnsi="Arial"/>
                <w:b w:val="0"/>
                <w:sz w:val="18"/>
              </w:rPr>
              <w:t>Freshwater Emergent Wetland</w:t>
            </w:r>
          </w:p>
        </w:tc>
      </w:tr>
      <w:tr>
        <w:tc>
          <w:tcPr>
            <w:tcW w:type="dxa" w:w="3600"/>
          </w:tcPr>
          <w:p>
            <w:pPr>
              <w:jc w:val="left"/>
            </w:pPr>
            <w:r/>
            <w:r>
              <w:rPr>
                <w:rFonts w:ascii="Arial" w:hAnsi="Arial"/>
                <w:b w:val="0"/>
                <w:sz w:val="18"/>
              </w:rPr>
              <w:t>Feature Total</w:t>
            </w:r>
          </w:p>
        </w:tc>
        <w:tc>
          <w:tcPr>
            <w:tcW w:type="dxa" w:w="6480"/>
          </w:tcPr>
          <w:p>
            <w:pPr>
              <w:jc w:val="left"/>
            </w:pPr>
            <w:r/>
            <w:r>
              <w:rPr>
                <w:rFonts w:ascii="Arial" w:hAnsi="Arial"/>
                <w:b w:val="0"/>
                <w:sz w:val="18"/>
              </w:rPr>
              <w:t>10.316 acres (parcel within larger polygon)</w:t>
            </w:r>
          </w:p>
        </w:tc>
      </w:tr>
      <w:tr>
        <w:tc>
          <w:tcPr>
            <w:tcW w:type="dxa" w:w="3600"/>
            <w:shd w:fill="F2F2F2" w:val="clear"/>
          </w:tcPr>
          <w:p>
            <w:pPr>
              <w:jc w:val="left"/>
            </w:pPr>
            <w:r/>
            <w:r>
              <w:rPr>
                <w:rFonts w:ascii="Arial" w:hAnsi="Arial"/>
                <w:b w:val="0"/>
                <w:sz w:val="18"/>
              </w:rPr>
              <w:t>Classification</w:t>
            </w:r>
          </w:p>
        </w:tc>
        <w:tc>
          <w:tcPr>
            <w:tcW w:type="dxa" w:w="6480"/>
            <w:shd w:fill="F2F2F2" w:val="clear"/>
          </w:tcPr>
          <w:p>
            <w:pPr>
              <w:jc w:val="left"/>
            </w:pPr>
            <w:r/>
            <w:r>
              <w:rPr>
                <w:rFonts w:ascii="Arial" w:hAnsi="Arial"/>
                <w:b w:val="0"/>
                <w:sz w:val="18"/>
              </w:rPr>
              <w:t>Palustrine, Emergent, Persistent, Seasonally Flooded, Partially Drained</w:t>
            </w:r>
          </w:p>
        </w:tc>
      </w:tr>
      <w:tr>
        <w:tc>
          <w:tcPr>
            <w:tcW w:type="dxa" w:w="3600"/>
          </w:tcPr>
          <w:p>
            <w:pPr>
              <w:jc w:val="left"/>
            </w:pPr>
            <w:r/>
            <w:r>
              <w:rPr>
                <w:rFonts w:ascii="Arial" w:hAnsi="Arial"/>
                <w:b w:val="0"/>
                <w:sz w:val="18"/>
              </w:rPr>
              <w:t>Delineation Cost</w:t>
            </w:r>
          </w:p>
        </w:tc>
        <w:tc>
          <w:tcPr>
            <w:tcW w:type="dxa" w:w="6480"/>
          </w:tcPr>
          <w:p>
            <w:pPr>
              <w:jc w:val="left"/>
            </w:pPr>
            <w:r/>
            <w:r>
              <w:rPr>
                <w:rFonts w:ascii="Arial" w:hAnsi="Arial"/>
                <w:b w:val="0"/>
                <w:sz w:val="18"/>
              </w:rPr>
              <w:t>$3,000 - $8,000</w:t>
            </w:r>
          </w:p>
        </w:tc>
      </w:tr>
      <w:tr>
        <w:tc>
          <w:tcPr>
            <w:tcW w:type="dxa" w:w="3600"/>
            <w:shd w:fill="F2F2F2" w:val="clear"/>
          </w:tcPr>
          <w:p>
            <w:pPr>
              <w:jc w:val="left"/>
            </w:pPr>
            <w:r/>
            <w:r>
              <w:rPr>
                <w:rFonts w:ascii="Arial" w:hAnsi="Arial"/>
                <w:b w:val="0"/>
                <w:sz w:val="18"/>
              </w:rPr>
              <w:t>Mitigation Credits</w:t>
            </w:r>
          </w:p>
        </w:tc>
        <w:tc>
          <w:tcPr>
            <w:tcW w:type="dxa" w:w="6480"/>
            <w:shd w:fill="F2F2F2" w:val="clear"/>
          </w:tcPr>
          <w:p>
            <w:pPr>
              <w:jc w:val="left"/>
            </w:pPr>
            <w:r/>
            <w:r>
              <w:rPr>
                <w:rFonts w:ascii="Arial" w:hAnsi="Arial"/>
                <w:b w:val="0"/>
                <w:sz w:val="18"/>
              </w:rPr>
              <w:t>0.3-0.5 UMAM credits at $125K-$200K/credit</w:t>
            </w:r>
          </w:p>
        </w:tc>
      </w:tr>
      <w:tr>
        <w:tc>
          <w:tcPr>
            <w:tcW w:type="dxa" w:w="3600"/>
          </w:tcPr>
          <w:p>
            <w:pPr>
              <w:jc w:val="left"/>
            </w:pPr>
            <w:r/>
            <w:r>
              <w:rPr>
                <w:rFonts w:ascii="Arial" w:hAnsi="Arial"/>
                <w:b w:val="0"/>
                <w:sz w:val="18"/>
              </w:rPr>
              <w:t>Mitigation Cost</w:t>
            </w:r>
          </w:p>
        </w:tc>
        <w:tc>
          <w:tcPr>
            <w:tcW w:type="dxa" w:w="6480"/>
          </w:tcPr>
          <w:p>
            <w:pPr>
              <w:jc w:val="left"/>
            </w:pPr>
            <w:r/>
            <w:r>
              <w:rPr>
                <w:rFonts w:ascii="Arial" w:hAnsi="Arial"/>
                <w:b w:val="0"/>
                <w:sz w:val="18"/>
              </w:rPr>
              <w:t>$40,000 - $100,000</w:t>
            </w:r>
          </w:p>
        </w:tc>
      </w:tr>
      <w:tr>
        <w:tc>
          <w:tcPr>
            <w:tcW w:type="dxa" w:w="3600"/>
            <w:shd w:fill="F2F2F2" w:val="clear"/>
          </w:tcPr>
          <w:p>
            <w:pPr>
              <w:jc w:val="left"/>
            </w:pPr>
            <w:r/>
            <w:r>
              <w:rPr>
                <w:rFonts w:ascii="Arial" w:hAnsi="Arial"/>
                <w:b w:val="0"/>
                <w:sz w:val="18"/>
              </w:rPr>
              <w:t>Primary Bank</w:t>
            </w:r>
          </w:p>
        </w:tc>
        <w:tc>
          <w:tcPr>
            <w:tcW w:type="dxa" w:w="6480"/>
            <w:shd w:fill="F2F2F2" w:val="clear"/>
          </w:tcPr>
          <w:p>
            <w:pPr>
              <w:jc w:val="left"/>
            </w:pPr>
            <w:r/>
            <w:r>
              <w:rPr>
                <w:rFonts w:ascii="Arial" w:hAnsi="Arial"/>
                <w:b w:val="0"/>
                <w:sz w:val="18"/>
              </w:rPr>
              <w:t>Farmton Mitigation Bank (south Brevard service area)</w:t>
            </w:r>
          </w:p>
        </w:tc>
      </w:tr>
    </w:tbl>
    <w:p>
      <w:r>
        <w:rPr>
          <w:rFonts w:ascii="Arial" w:hAnsi="Arial"/>
          <w:b w:val="0"/>
          <w:i w:val="0"/>
          <w:sz w:val="20"/>
        </w:rPr>
      </w:r>
    </w:p>
    <w:p>
      <w:r>
        <w:rPr>
          <w:rFonts w:ascii="Arial" w:hAnsi="Arial"/>
          <w:b/>
          <w:i w:val="0"/>
          <w:sz w:val="20"/>
        </w:rPr>
        <w:t>Listed Species</w:t>
      </w:r>
    </w:p>
    <w:p>
      <w:r>
        <w:rPr>
          <w:rFonts w:ascii="Arial" w:hAnsi="Arial"/>
          <w:b w:val="0"/>
          <w:i w:val="0"/>
          <w:sz w:val="20"/>
        </w:rPr>
        <w:t>Palm Bay has an active USFWS-approved Habitat Conservation Plan (HCP) covering Florida Scrub-Jay, Eastern Indigo Snake, and Gopher Tortoise. The HCP scrub-jay fee is $125 per quarter-acre ($560 total). A 100% gopher tortoise survey is required before any land clearing. Wood stork foraging habitat (PEM1Cd wetland type) may trigger USFWS consultation.</w:t>
      </w:r>
    </w:p>
    <w:p>
      <w:r>
        <w:rPr>
          <w:rFonts w:ascii="Arial" w:hAnsi="Arial"/>
          <w:b w:val="0"/>
          <w:i w:val="0"/>
          <w:sz w:val="20"/>
        </w:rPr>
      </w:r>
    </w:p>
    <w:p>
      <w:r>
        <w:rPr>
          <w:rFonts w:ascii="Arial" w:hAnsi="Arial"/>
          <w:b/>
          <w:i w:val="0"/>
          <w:sz w:val="20"/>
        </w:rPr>
        <w:t>Environmental Cost Summary</w:t>
      </w:r>
    </w:p>
    <w:tbl>
      <w:tblPr>
        <w:tblStyle w:val="TableGrid"/>
        <w:tblW w:type="auto" w:w="0"/>
        <w:jc w:val="center"/>
        <w:tblLook w:firstColumn="1" w:firstRow="1" w:lastColumn="0" w:lastRow="0" w:noHBand="0" w:noVBand="1" w:val="04A0"/>
      </w:tblPr>
      <w:tblGrid>
        <w:gridCol w:w="3135"/>
        <w:gridCol w:w="3135"/>
        <w:gridCol w:w="3135"/>
      </w:tblGrid>
      <w:tr>
        <w:tc>
          <w:tcPr>
            <w:tcW w:type="dxa" w:w="5040"/>
            <w:shd w:fill="1E3A5F" w:val="clear"/>
          </w:tcPr>
          <w:p>
            <w:pPr>
              <w:jc w:val="center"/>
            </w:pPr>
            <w:r>
              <w:rPr>
                <w:rFonts w:ascii="Arial" w:hAnsi="Arial"/>
                <w:b/>
                <w:color w:val="FFFFFF"/>
                <w:sz w:val="18"/>
              </w:rPr>
            </w:r>
            <w:r>
              <w:rPr>
                <w:rFonts w:ascii="Arial" w:hAnsi="Arial"/>
                <w:b/>
                <w:color w:val="FFFFFF"/>
                <w:sz w:val="18"/>
              </w:rPr>
              <w:t>Item</w:t>
            </w:r>
          </w:p>
        </w:tc>
        <w:tc>
          <w:tcPr>
            <w:tcW w:type="dxa" w:w="2160"/>
            <w:shd w:fill="1E3A5F" w:val="clear"/>
          </w:tcPr>
          <w:p>
            <w:pPr>
              <w:jc w:val="center"/>
            </w:pPr>
            <w:r>
              <w:rPr>
                <w:rFonts w:ascii="Arial" w:hAnsi="Arial"/>
                <w:b/>
                <w:color w:val="FFFFFF"/>
                <w:sz w:val="18"/>
              </w:rPr>
            </w:r>
            <w:r>
              <w:rPr>
                <w:rFonts w:ascii="Arial" w:hAnsi="Arial"/>
                <w:b/>
                <w:color w:val="FFFFFF"/>
                <w:sz w:val="18"/>
              </w:rPr>
              <w:t>Low Estimate</w:t>
            </w:r>
          </w:p>
        </w:tc>
        <w:tc>
          <w:tcPr>
            <w:tcW w:type="dxa" w:w="2160"/>
            <w:shd w:fill="1E3A5F" w:val="clear"/>
          </w:tcPr>
          <w:p>
            <w:pPr>
              <w:jc w:val="center"/>
            </w:pPr>
            <w:r>
              <w:rPr>
                <w:rFonts w:ascii="Arial" w:hAnsi="Arial"/>
                <w:b/>
                <w:color w:val="FFFFFF"/>
                <w:sz w:val="18"/>
              </w:rPr>
            </w:r>
            <w:r>
              <w:rPr>
                <w:rFonts w:ascii="Arial" w:hAnsi="Arial"/>
                <w:b/>
                <w:color w:val="FFFFFF"/>
                <w:sz w:val="18"/>
              </w:rPr>
              <w:t>High Estimate</w:t>
            </w:r>
          </w:p>
        </w:tc>
      </w:tr>
      <w:tr>
        <w:tc>
          <w:tcPr>
            <w:tcW w:type="dxa" w:w="5040"/>
          </w:tcPr>
          <w:p>
            <w:pPr>
              <w:jc w:val="left"/>
            </w:pPr>
            <w:r/>
            <w:r>
              <w:rPr>
                <w:rFonts w:ascii="Arial" w:hAnsi="Arial"/>
                <w:b w:val="0"/>
                <w:sz w:val="18"/>
              </w:rPr>
              <w:t>Flood study / BFE determination</w:t>
            </w:r>
          </w:p>
        </w:tc>
        <w:tc>
          <w:tcPr>
            <w:tcW w:type="dxa" w:w="2160"/>
          </w:tcPr>
          <w:p>
            <w:pPr>
              <w:jc w:val="left"/>
            </w:pPr>
            <w:r/>
            <w:r>
              <w:rPr>
                <w:rFonts w:ascii="Arial" w:hAnsi="Arial"/>
                <w:b w:val="0"/>
                <w:sz w:val="18"/>
              </w:rPr>
              <w:t>$5,000</w:t>
            </w:r>
          </w:p>
        </w:tc>
        <w:tc>
          <w:tcPr>
            <w:tcW w:type="dxa" w:w="2160"/>
          </w:tcPr>
          <w:p>
            <w:pPr>
              <w:jc w:val="left"/>
            </w:pPr>
            <w:r/>
            <w:r>
              <w:rPr>
                <w:rFonts w:ascii="Arial" w:hAnsi="Arial"/>
                <w:b w:val="0"/>
                <w:sz w:val="18"/>
              </w:rPr>
              <w:t>$25,000</w:t>
            </w:r>
          </w:p>
        </w:tc>
      </w:tr>
      <w:tr>
        <w:tc>
          <w:tcPr>
            <w:tcW w:type="dxa" w:w="5040"/>
            <w:shd w:fill="F2F2F2" w:val="clear"/>
          </w:tcPr>
          <w:p>
            <w:pPr>
              <w:jc w:val="left"/>
            </w:pPr>
            <w:r/>
            <w:r>
              <w:rPr>
                <w:rFonts w:ascii="Arial" w:hAnsi="Arial"/>
                <w:b w:val="0"/>
                <w:sz w:val="18"/>
              </w:rPr>
              <w:t>Elevation certificates (3x)</w:t>
            </w:r>
          </w:p>
        </w:tc>
        <w:tc>
          <w:tcPr>
            <w:tcW w:type="dxa" w:w="2160"/>
            <w:shd w:fill="F2F2F2" w:val="clear"/>
          </w:tcPr>
          <w:p>
            <w:pPr>
              <w:jc w:val="left"/>
            </w:pPr>
            <w:r/>
            <w:r>
              <w:rPr>
                <w:rFonts w:ascii="Arial" w:hAnsi="Arial"/>
                <w:b w:val="0"/>
                <w:sz w:val="18"/>
              </w:rPr>
              <w:t>$500</w:t>
            </w:r>
          </w:p>
        </w:tc>
        <w:tc>
          <w:tcPr>
            <w:tcW w:type="dxa" w:w="2160"/>
            <w:shd w:fill="F2F2F2" w:val="clear"/>
          </w:tcPr>
          <w:p>
            <w:pPr>
              <w:jc w:val="left"/>
            </w:pPr>
            <w:r/>
            <w:r>
              <w:rPr>
                <w:rFonts w:ascii="Arial" w:hAnsi="Arial"/>
                <w:b w:val="0"/>
                <w:sz w:val="18"/>
              </w:rPr>
              <w:t>$6,000</w:t>
            </w:r>
          </w:p>
        </w:tc>
      </w:tr>
      <w:tr>
        <w:tc>
          <w:tcPr>
            <w:tcW w:type="dxa" w:w="5040"/>
          </w:tcPr>
          <w:p>
            <w:pPr>
              <w:jc w:val="left"/>
            </w:pPr>
            <w:r/>
            <w:r>
              <w:rPr>
                <w:rFonts w:ascii="Arial" w:hAnsi="Arial"/>
                <w:b w:val="0"/>
                <w:sz w:val="18"/>
              </w:rPr>
              <w:t>Wetland delineation</w:t>
            </w:r>
          </w:p>
        </w:tc>
        <w:tc>
          <w:tcPr>
            <w:tcW w:type="dxa" w:w="2160"/>
          </w:tcPr>
          <w:p>
            <w:pPr>
              <w:jc w:val="left"/>
            </w:pPr>
            <w:r/>
            <w:r>
              <w:rPr>
                <w:rFonts w:ascii="Arial" w:hAnsi="Arial"/>
                <w:b w:val="0"/>
                <w:sz w:val="18"/>
              </w:rPr>
              <w:t>$3,000</w:t>
            </w:r>
          </w:p>
        </w:tc>
        <w:tc>
          <w:tcPr>
            <w:tcW w:type="dxa" w:w="2160"/>
          </w:tcPr>
          <w:p>
            <w:pPr>
              <w:jc w:val="left"/>
            </w:pPr>
            <w:r/>
            <w:r>
              <w:rPr>
                <w:rFonts w:ascii="Arial" w:hAnsi="Arial"/>
                <w:b w:val="0"/>
                <w:sz w:val="18"/>
              </w:rPr>
              <w:t>$8,000</w:t>
            </w:r>
          </w:p>
        </w:tc>
      </w:tr>
      <w:tr>
        <w:tc>
          <w:tcPr>
            <w:tcW w:type="dxa" w:w="5040"/>
            <w:shd w:fill="F2F2F2" w:val="clear"/>
          </w:tcPr>
          <w:p>
            <w:pPr>
              <w:jc w:val="left"/>
            </w:pPr>
            <w:r/>
            <w:r>
              <w:rPr>
                <w:rFonts w:ascii="Arial" w:hAnsi="Arial"/>
                <w:b w:val="0"/>
                <w:sz w:val="18"/>
              </w:rPr>
              <w:t>Listed species surveys</w:t>
            </w:r>
          </w:p>
        </w:tc>
        <w:tc>
          <w:tcPr>
            <w:tcW w:type="dxa" w:w="2160"/>
            <w:shd w:fill="F2F2F2" w:val="clear"/>
          </w:tcPr>
          <w:p>
            <w:pPr>
              <w:jc w:val="left"/>
            </w:pPr>
            <w:r/>
            <w:r>
              <w:rPr>
                <w:rFonts w:ascii="Arial" w:hAnsi="Arial"/>
                <w:b w:val="0"/>
                <w:sz w:val="18"/>
              </w:rPr>
              <w:t>$2,000</w:t>
            </w:r>
          </w:p>
        </w:tc>
        <w:tc>
          <w:tcPr>
            <w:tcW w:type="dxa" w:w="2160"/>
            <w:shd w:fill="F2F2F2" w:val="clear"/>
          </w:tcPr>
          <w:p>
            <w:pPr>
              <w:jc w:val="left"/>
            </w:pPr>
            <w:r/>
            <w:r>
              <w:rPr>
                <w:rFonts w:ascii="Arial" w:hAnsi="Arial"/>
                <w:b w:val="0"/>
                <w:sz w:val="18"/>
              </w:rPr>
              <w:t>$8,000</w:t>
            </w:r>
          </w:p>
        </w:tc>
      </w:tr>
      <w:tr>
        <w:tc>
          <w:tcPr>
            <w:tcW w:type="dxa" w:w="5040"/>
          </w:tcPr>
          <w:p>
            <w:pPr>
              <w:jc w:val="left"/>
            </w:pPr>
            <w:r/>
            <w:r>
              <w:rPr>
                <w:rFonts w:ascii="Arial" w:hAnsi="Arial"/>
                <w:b w:val="0"/>
                <w:sz w:val="18"/>
              </w:rPr>
              <w:t>Environmental consultant (ERP)</w:t>
            </w:r>
          </w:p>
        </w:tc>
        <w:tc>
          <w:tcPr>
            <w:tcW w:type="dxa" w:w="2160"/>
          </w:tcPr>
          <w:p>
            <w:pPr>
              <w:jc w:val="left"/>
            </w:pPr>
            <w:r/>
            <w:r>
              <w:rPr>
                <w:rFonts w:ascii="Arial" w:hAnsi="Arial"/>
                <w:b w:val="0"/>
                <w:sz w:val="18"/>
              </w:rPr>
              <w:t>$15,000</w:t>
            </w:r>
          </w:p>
        </w:tc>
        <w:tc>
          <w:tcPr>
            <w:tcW w:type="dxa" w:w="2160"/>
          </w:tcPr>
          <w:p>
            <w:pPr>
              <w:jc w:val="left"/>
            </w:pPr>
            <w:r/>
            <w:r>
              <w:rPr>
                <w:rFonts w:ascii="Arial" w:hAnsi="Arial"/>
                <w:b w:val="0"/>
                <w:sz w:val="18"/>
              </w:rPr>
              <w:t>$40,000</w:t>
            </w:r>
          </w:p>
        </w:tc>
      </w:tr>
      <w:tr>
        <w:tc>
          <w:tcPr>
            <w:tcW w:type="dxa" w:w="5040"/>
            <w:shd w:fill="F2F2F2" w:val="clear"/>
          </w:tcPr>
          <w:p>
            <w:pPr>
              <w:jc w:val="left"/>
            </w:pPr>
            <w:r/>
            <w:r>
              <w:rPr>
                <w:rFonts w:ascii="Arial" w:hAnsi="Arial"/>
                <w:b w:val="0"/>
                <w:sz w:val="18"/>
              </w:rPr>
              <w:t>SJRWMD ERP application fee</w:t>
            </w:r>
          </w:p>
        </w:tc>
        <w:tc>
          <w:tcPr>
            <w:tcW w:type="dxa" w:w="2160"/>
            <w:shd w:fill="F2F2F2" w:val="clear"/>
          </w:tcPr>
          <w:p>
            <w:pPr>
              <w:jc w:val="left"/>
            </w:pPr>
            <w:r/>
            <w:r>
              <w:rPr>
                <w:rFonts w:ascii="Arial" w:hAnsi="Arial"/>
                <w:b w:val="0"/>
                <w:sz w:val="18"/>
              </w:rPr>
              <w:t>$9,000</w:t>
            </w:r>
          </w:p>
        </w:tc>
        <w:tc>
          <w:tcPr>
            <w:tcW w:type="dxa" w:w="2160"/>
            <w:shd w:fill="F2F2F2" w:val="clear"/>
          </w:tcPr>
          <w:p>
            <w:pPr>
              <w:jc w:val="left"/>
            </w:pPr>
            <w:r/>
            <w:r>
              <w:rPr>
                <w:rFonts w:ascii="Arial" w:hAnsi="Arial"/>
                <w:b w:val="0"/>
                <w:sz w:val="18"/>
              </w:rPr>
              <w:t>$9,000</w:t>
            </w:r>
          </w:p>
        </w:tc>
      </w:tr>
      <w:tr>
        <w:tc>
          <w:tcPr>
            <w:tcW w:type="dxa" w:w="5040"/>
          </w:tcPr>
          <w:p>
            <w:pPr>
              <w:jc w:val="left"/>
            </w:pPr>
            <w:r/>
            <w:r>
              <w:rPr>
                <w:rFonts w:ascii="Arial" w:hAnsi="Arial"/>
                <w:b w:val="0"/>
                <w:sz w:val="18"/>
              </w:rPr>
              <w:t>Wetland mitigation credits</w:t>
            </w:r>
          </w:p>
        </w:tc>
        <w:tc>
          <w:tcPr>
            <w:tcW w:type="dxa" w:w="2160"/>
          </w:tcPr>
          <w:p>
            <w:pPr>
              <w:jc w:val="left"/>
            </w:pPr>
            <w:r/>
            <w:r>
              <w:rPr>
                <w:rFonts w:ascii="Arial" w:hAnsi="Arial"/>
                <w:b w:val="0"/>
                <w:sz w:val="18"/>
              </w:rPr>
              <w:t>$40,000</w:t>
            </w:r>
          </w:p>
        </w:tc>
        <w:tc>
          <w:tcPr>
            <w:tcW w:type="dxa" w:w="2160"/>
          </w:tcPr>
          <w:p>
            <w:pPr>
              <w:jc w:val="left"/>
            </w:pPr>
            <w:r/>
            <w:r>
              <w:rPr>
                <w:rFonts w:ascii="Arial" w:hAnsi="Arial"/>
                <w:b w:val="0"/>
                <w:sz w:val="18"/>
              </w:rPr>
              <w:t>$100,000</w:t>
            </w:r>
          </w:p>
        </w:tc>
      </w:tr>
      <w:tr>
        <w:tc>
          <w:tcPr>
            <w:tcW w:type="dxa" w:w="5040"/>
            <w:shd w:fill="F2F2F2" w:val="clear"/>
          </w:tcPr>
          <w:p>
            <w:pPr>
              <w:jc w:val="left"/>
            </w:pPr>
            <w:r/>
            <w:r>
              <w:rPr>
                <w:rFonts w:ascii="Arial" w:hAnsi="Arial"/>
                <w:b w:val="0"/>
                <w:sz w:val="18"/>
              </w:rPr>
              <w:t>Gopher tortoise survey/relocation</w:t>
            </w:r>
          </w:p>
        </w:tc>
        <w:tc>
          <w:tcPr>
            <w:tcW w:type="dxa" w:w="2160"/>
            <w:shd w:fill="F2F2F2" w:val="clear"/>
          </w:tcPr>
          <w:p>
            <w:pPr>
              <w:jc w:val="left"/>
            </w:pPr>
            <w:r/>
            <w:r>
              <w:rPr>
                <w:rFonts w:ascii="Arial" w:hAnsi="Arial"/>
                <w:b w:val="0"/>
                <w:sz w:val="18"/>
              </w:rPr>
              <w:t>$1,500</w:t>
            </w:r>
          </w:p>
        </w:tc>
        <w:tc>
          <w:tcPr>
            <w:tcW w:type="dxa" w:w="2160"/>
            <w:shd w:fill="F2F2F2" w:val="clear"/>
          </w:tcPr>
          <w:p>
            <w:pPr>
              <w:jc w:val="left"/>
            </w:pPr>
            <w:r/>
            <w:r>
              <w:rPr>
                <w:rFonts w:ascii="Arial" w:hAnsi="Arial"/>
                <w:b w:val="0"/>
                <w:sz w:val="18"/>
              </w:rPr>
              <w:t>$6,000</w:t>
            </w:r>
          </w:p>
        </w:tc>
      </w:tr>
      <w:tr>
        <w:tc>
          <w:tcPr>
            <w:tcW w:type="dxa" w:w="5040"/>
          </w:tcPr>
          <w:p>
            <w:pPr>
              <w:jc w:val="left"/>
            </w:pPr>
            <w:r/>
            <w:r>
              <w:rPr>
                <w:rFonts w:ascii="Arial" w:hAnsi="Arial"/>
                <w:b w:val="0"/>
                <w:sz w:val="18"/>
              </w:rPr>
              <w:t>Scrub-jay HCP fee</w:t>
            </w:r>
          </w:p>
        </w:tc>
        <w:tc>
          <w:tcPr>
            <w:tcW w:type="dxa" w:w="2160"/>
          </w:tcPr>
          <w:p>
            <w:pPr>
              <w:jc w:val="left"/>
            </w:pPr>
            <w:r/>
            <w:r>
              <w:rPr>
                <w:rFonts w:ascii="Arial" w:hAnsi="Arial"/>
                <w:b w:val="0"/>
                <w:sz w:val="18"/>
              </w:rPr>
              <w:t>$560</w:t>
            </w:r>
          </w:p>
        </w:tc>
        <w:tc>
          <w:tcPr>
            <w:tcW w:type="dxa" w:w="2160"/>
          </w:tcPr>
          <w:p>
            <w:pPr>
              <w:jc w:val="left"/>
            </w:pPr>
            <w:r/>
            <w:r>
              <w:rPr>
                <w:rFonts w:ascii="Arial" w:hAnsi="Arial"/>
                <w:b w:val="0"/>
                <w:sz w:val="18"/>
              </w:rPr>
              <w:t>$560</w:t>
            </w:r>
          </w:p>
        </w:tc>
      </w:tr>
      <w:tr>
        <w:tc>
          <w:tcPr>
            <w:tcW w:type="dxa" w:w="5040"/>
            <w:shd w:fill="F2F2F2" w:val="clear"/>
          </w:tcPr>
          <w:p>
            <w:pPr>
              <w:jc w:val="left"/>
            </w:pPr>
            <w:r/>
            <w:r>
              <w:rPr>
                <w:rFonts w:ascii="Arial" w:hAnsi="Arial"/>
                <w:b/>
                <w:sz w:val="18"/>
              </w:rPr>
              <w:t>TOTAL</w:t>
            </w:r>
          </w:p>
        </w:tc>
        <w:tc>
          <w:tcPr>
            <w:tcW w:type="dxa" w:w="2160"/>
            <w:shd w:fill="F2F2F2" w:val="clear"/>
          </w:tcPr>
          <w:p>
            <w:pPr>
              <w:jc w:val="left"/>
            </w:pPr>
            <w:r/>
            <w:r>
              <w:rPr>
                <w:rFonts w:ascii="Arial" w:hAnsi="Arial"/>
                <w:b/>
                <w:sz w:val="18"/>
              </w:rPr>
              <w:t>$76,560</w:t>
            </w:r>
          </w:p>
        </w:tc>
        <w:tc>
          <w:tcPr>
            <w:tcW w:type="dxa" w:w="2160"/>
            <w:shd w:fill="F2F2F2" w:val="clear"/>
          </w:tcPr>
          <w:p>
            <w:pPr>
              <w:jc w:val="left"/>
            </w:pPr>
            <w:r/>
            <w:r>
              <w:rPr>
                <w:rFonts w:ascii="Arial" w:hAnsi="Arial"/>
                <w:b/>
                <w:sz w:val="18"/>
              </w:rPr>
              <w:t>$202,560</w:t>
            </w:r>
          </w:p>
        </w:tc>
      </w:tr>
    </w:tbl>
    <w:p>
      <w:r>
        <w:rPr>
          <w:rFonts w:ascii="Arial" w:hAnsi="Arial"/>
          <w:b w:val="0"/>
          <w:i w:val="0"/>
          <w:sz w:val="20"/>
        </w:rPr>
      </w:r>
    </w:p>
    <w:p>
      <w:r>
        <w:rPr>
          <w:rFonts w:ascii="Arial" w:hAnsi="Arial"/>
          <w:b w:val="0"/>
          <w:i/>
          <w:sz w:val="20"/>
        </w:rPr>
        <w:t>Environmental costs ($77K-$203K) represent 139%-368% of the land value ($55K). Wetland mitigation credits are the single largest cost component at $40K-$100K.</w:t>
      </w:r>
    </w:p>
    <w:p>
      <w:r>
        <w:br w:type="page"/>
      </w:r>
    </w:p>
    <w:p>
      <w:pPr>
        <w:pStyle w:val="Heading1"/>
      </w:pPr>
      <w:r>
        <w:rPr>
          <w:rFonts w:ascii="Arial" w:hAnsi="Arial"/>
          <w:color w:val="1E3A5F"/>
        </w:rPr>
        <w:t>Section 5: Infrastructure &amp; Utilities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1E3A5F" w:val="clear"/>
          </w:tcPr>
          <w:p>
            <w:pPr>
              <w:jc w:val="center"/>
            </w:pPr>
            <w:r>
              <w:rPr>
                <w:rFonts w:ascii="Arial" w:hAnsi="Arial"/>
                <w:b/>
                <w:color w:val="FFFFFF"/>
                <w:sz w:val="18"/>
              </w:rPr>
            </w:r>
            <w:r>
              <w:rPr>
                <w:rFonts w:ascii="Arial" w:hAnsi="Arial"/>
                <w:b/>
                <w:color w:val="FFFFFF"/>
                <w:sz w:val="18"/>
              </w:rPr>
              <w:t>Utility</w:t>
            </w:r>
          </w:p>
        </w:tc>
        <w:tc>
          <w:tcPr>
            <w:tcW w:type="dxa" w:w="2880"/>
            <w:shd w:fill="1E3A5F" w:val="clear"/>
          </w:tcPr>
          <w:p>
            <w:pPr>
              <w:jc w:val="center"/>
            </w:pPr>
            <w:r>
              <w:rPr>
                <w:rFonts w:ascii="Arial" w:hAnsi="Arial"/>
                <w:b/>
                <w:color w:val="FFFFFF"/>
                <w:sz w:val="18"/>
              </w:rPr>
            </w:r>
            <w:r>
              <w:rPr>
                <w:rFonts w:ascii="Arial" w:hAnsi="Arial"/>
                <w:b/>
                <w:color w:val="FFFFFF"/>
                <w:sz w:val="18"/>
              </w:rPr>
              <w:t>Provider</w:t>
            </w:r>
          </w:p>
        </w:tc>
        <w:tc>
          <w:tcPr>
            <w:tcW w:type="dxa" w:w="1152"/>
            <w:shd w:fill="1E3A5F" w:val="clear"/>
          </w:tcPr>
          <w:p>
            <w:pPr>
              <w:jc w:val="center"/>
            </w:pPr>
            <w:r>
              <w:rPr>
                <w:rFonts w:ascii="Arial" w:hAnsi="Arial"/>
                <w:b/>
                <w:color w:val="FFFFFF"/>
                <w:sz w:val="18"/>
              </w:rPr>
            </w:r>
            <w:r>
              <w:rPr>
                <w:rFonts w:ascii="Arial" w:hAnsi="Arial"/>
                <w:b/>
                <w:color w:val="FFFFFF"/>
                <w:sz w:val="18"/>
              </w:rPr>
              <w:t>Available</w:t>
            </w:r>
          </w:p>
        </w:tc>
        <w:tc>
          <w:tcPr>
            <w:tcW w:type="dxa" w:w="4320"/>
            <w:shd w:fill="1E3A5F" w:val="clear"/>
          </w:tcPr>
          <w:p>
            <w:pPr>
              <w:jc w:val="center"/>
            </w:pPr>
            <w:r>
              <w:rPr>
                <w:rFonts w:ascii="Arial" w:hAnsi="Arial"/>
                <w:b/>
                <w:color w:val="FFFFFF"/>
                <w:sz w:val="18"/>
              </w:rPr>
            </w:r>
            <w:r>
              <w:rPr>
                <w:rFonts w:ascii="Arial" w:hAnsi="Arial"/>
                <w:b/>
                <w:color w:val="FFFFFF"/>
                <w:sz w:val="18"/>
              </w:rPr>
              <w:t>Notes</w:t>
            </w:r>
          </w:p>
        </w:tc>
      </w:tr>
      <w:tr>
        <w:tc>
          <w:tcPr>
            <w:tcW w:type="dxa" w:w="1728"/>
          </w:tcPr>
          <w:p>
            <w:pPr>
              <w:jc w:val="left"/>
            </w:pPr>
            <w:r/>
            <w:r>
              <w:rPr>
                <w:rFonts w:ascii="Arial" w:hAnsi="Arial"/>
                <w:b w:val="0"/>
                <w:sz w:val="18"/>
              </w:rPr>
              <w:t>Water</w:t>
            </w:r>
          </w:p>
        </w:tc>
        <w:tc>
          <w:tcPr>
            <w:tcW w:type="dxa" w:w="2880"/>
          </w:tcPr>
          <w:p>
            <w:pPr>
              <w:jc w:val="left"/>
            </w:pPr>
            <w:r/>
            <w:r>
              <w:rPr>
                <w:rFonts w:ascii="Arial" w:hAnsi="Arial"/>
                <w:b w:val="0"/>
                <w:sz w:val="18"/>
              </w:rPr>
              <w:t>City of Palm Bay (PBUD)</w:t>
            </w:r>
          </w:p>
        </w:tc>
        <w:tc>
          <w:tcPr>
            <w:tcW w:type="dxa" w:w="1152"/>
          </w:tcPr>
          <w:p>
            <w:pPr>
              <w:jc w:val="left"/>
            </w:pPr>
            <w:r/>
            <w:r>
              <w:rPr>
                <w:rFonts w:ascii="Arial" w:hAnsi="Arial"/>
                <w:b w:val="0"/>
                <w:sz w:val="18"/>
              </w:rPr>
              <w:t>NO*</w:t>
            </w:r>
          </w:p>
        </w:tc>
        <w:tc>
          <w:tcPr>
            <w:tcW w:type="dxa" w:w="4320"/>
          </w:tcPr>
          <w:p>
            <w:pPr>
              <w:jc w:val="left"/>
            </w:pPr>
            <w:r/>
            <w:r>
              <w:rPr>
                <w:rFonts w:ascii="Arial" w:hAnsi="Arial"/>
                <w:b w:val="0"/>
                <w:sz w:val="18"/>
              </w:rPr>
              <w:t>Wellhead within 200ft but no main at property line</w:t>
            </w:r>
          </w:p>
        </w:tc>
      </w:tr>
      <w:tr>
        <w:tc>
          <w:tcPr>
            <w:tcW w:type="dxa" w:w="1728"/>
            <w:shd w:fill="F2F2F2" w:val="clear"/>
          </w:tcPr>
          <w:p>
            <w:pPr>
              <w:jc w:val="left"/>
            </w:pPr>
            <w:r/>
            <w:r>
              <w:rPr>
                <w:rFonts w:ascii="Arial" w:hAnsi="Arial"/>
                <w:b w:val="0"/>
                <w:sz w:val="18"/>
              </w:rPr>
              <w:t>Sewer</w:t>
            </w:r>
          </w:p>
        </w:tc>
        <w:tc>
          <w:tcPr>
            <w:tcW w:type="dxa" w:w="2880"/>
            <w:shd w:fill="F2F2F2" w:val="clear"/>
          </w:tcPr>
          <w:p>
            <w:pPr>
              <w:jc w:val="left"/>
            </w:pPr>
            <w:r/>
            <w:r>
              <w:rPr>
                <w:rFonts w:ascii="Arial" w:hAnsi="Arial"/>
                <w:b w:val="0"/>
                <w:sz w:val="18"/>
              </w:rPr>
              <w:t>City of Palm Bay (PBUD)</w:t>
            </w:r>
          </w:p>
        </w:tc>
        <w:tc>
          <w:tcPr>
            <w:tcW w:type="dxa" w:w="1152"/>
            <w:shd w:fill="F2F2F2" w:val="clear"/>
          </w:tcPr>
          <w:p>
            <w:pPr>
              <w:jc w:val="left"/>
            </w:pPr>
            <w:r/>
            <w:r>
              <w:rPr>
                <w:rFonts w:ascii="Arial" w:hAnsi="Arial"/>
                <w:b w:val="0"/>
                <w:sz w:val="18"/>
              </w:rPr>
              <w:t>NO</w:t>
            </w:r>
          </w:p>
        </w:tc>
        <w:tc>
          <w:tcPr>
            <w:tcW w:type="dxa" w:w="4320"/>
            <w:shd w:fill="F2F2F2" w:val="clear"/>
          </w:tcPr>
          <w:p>
            <w:pPr>
              <w:jc w:val="left"/>
            </w:pPr>
            <w:r/>
            <w:r>
              <w:rPr>
                <w:rFonts w:ascii="Arial" w:hAnsi="Arial"/>
                <w:b w:val="0"/>
                <w:sz w:val="18"/>
              </w:rPr>
              <w:t>Not in SANC/WANC phase. Extension required.</w:t>
            </w:r>
          </w:p>
        </w:tc>
      </w:tr>
      <w:tr>
        <w:tc>
          <w:tcPr>
            <w:tcW w:type="dxa" w:w="1728"/>
          </w:tcPr>
          <w:p>
            <w:pPr>
              <w:jc w:val="left"/>
            </w:pPr>
            <w:r/>
            <w:r>
              <w:rPr>
                <w:rFonts w:ascii="Arial" w:hAnsi="Arial"/>
                <w:b w:val="0"/>
                <w:sz w:val="18"/>
              </w:rPr>
              <w:t>Electric</w:t>
            </w:r>
          </w:p>
        </w:tc>
        <w:tc>
          <w:tcPr>
            <w:tcW w:type="dxa" w:w="2880"/>
          </w:tcPr>
          <w:p>
            <w:pPr>
              <w:jc w:val="left"/>
            </w:pPr>
            <w:r/>
            <w:r>
              <w:rPr>
                <w:rFonts w:ascii="Arial" w:hAnsi="Arial"/>
                <w:b w:val="0"/>
                <w:sz w:val="18"/>
              </w:rPr>
              <w:t>FPL</w:t>
            </w:r>
          </w:p>
        </w:tc>
        <w:tc>
          <w:tcPr>
            <w:tcW w:type="dxa" w:w="1152"/>
          </w:tcPr>
          <w:p>
            <w:pPr>
              <w:jc w:val="left"/>
            </w:pPr>
            <w:r/>
            <w:r>
              <w:rPr>
                <w:rFonts w:ascii="Arial" w:hAnsi="Arial"/>
                <w:b w:val="0"/>
                <w:sz w:val="18"/>
              </w:rPr>
              <w:t>YES</w:t>
            </w:r>
          </w:p>
        </w:tc>
        <w:tc>
          <w:tcPr>
            <w:tcW w:type="dxa" w:w="4320"/>
          </w:tcPr>
          <w:p>
            <w:pPr>
              <w:jc w:val="left"/>
            </w:pPr>
            <w:r/>
            <w:r>
              <w:rPr>
                <w:rFonts w:ascii="Arial" w:hAnsi="Arial"/>
                <w:b w:val="0"/>
                <w:sz w:val="18"/>
              </w:rPr>
              <w:t>Serves all Brevard County</w:t>
            </w:r>
          </w:p>
        </w:tc>
      </w:tr>
      <w:tr>
        <w:tc>
          <w:tcPr>
            <w:tcW w:type="dxa" w:w="1728"/>
            <w:shd w:fill="F2F2F2" w:val="clear"/>
          </w:tcPr>
          <w:p>
            <w:pPr>
              <w:jc w:val="left"/>
            </w:pPr>
            <w:r/>
            <w:r>
              <w:rPr>
                <w:rFonts w:ascii="Arial" w:hAnsi="Arial"/>
                <w:b w:val="0"/>
                <w:sz w:val="18"/>
              </w:rPr>
              <w:t>Natural Gas</w:t>
            </w:r>
          </w:p>
        </w:tc>
        <w:tc>
          <w:tcPr>
            <w:tcW w:type="dxa" w:w="2880"/>
            <w:shd w:fill="F2F2F2" w:val="clear"/>
          </w:tcPr>
          <w:p>
            <w:pPr>
              <w:jc w:val="left"/>
            </w:pPr>
            <w:r/>
            <w:r>
              <w:rPr>
                <w:rFonts w:ascii="Arial" w:hAnsi="Arial"/>
                <w:b w:val="0"/>
                <w:sz w:val="18"/>
              </w:rPr>
              <w:t>Florida City Gas</w:t>
            </w:r>
          </w:p>
        </w:tc>
        <w:tc>
          <w:tcPr>
            <w:tcW w:type="dxa" w:w="1152"/>
            <w:shd w:fill="F2F2F2" w:val="clear"/>
          </w:tcPr>
          <w:p>
            <w:pPr>
              <w:jc w:val="left"/>
            </w:pPr>
            <w:r/>
            <w:r>
              <w:rPr>
                <w:rFonts w:ascii="Arial" w:hAnsi="Arial"/>
                <w:b w:val="0"/>
                <w:sz w:val="18"/>
              </w:rPr>
              <w:t>LIKELY</w:t>
            </w:r>
          </w:p>
        </w:tc>
        <w:tc>
          <w:tcPr>
            <w:tcW w:type="dxa" w:w="4320"/>
            <w:shd w:fill="F2F2F2" w:val="clear"/>
          </w:tcPr>
          <w:p>
            <w:pPr>
              <w:jc w:val="left"/>
            </w:pPr>
            <w:r/>
            <w:r>
              <w:rPr>
                <w:rFonts w:ascii="Arial" w:hAnsi="Arial"/>
                <w:b w:val="0"/>
                <w:sz w:val="18"/>
              </w:rPr>
              <w:t>Address-specific confirmation needed</w:t>
            </w:r>
          </w:p>
        </w:tc>
      </w:tr>
      <w:tr>
        <w:tc>
          <w:tcPr>
            <w:tcW w:type="dxa" w:w="1728"/>
          </w:tcPr>
          <w:p>
            <w:pPr>
              <w:jc w:val="left"/>
            </w:pPr>
            <w:r/>
            <w:r>
              <w:rPr>
                <w:rFonts w:ascii="Arial" w:hAnsi="Arial"/>
                <w:b w:val="0"/>
                <w:sz w:val="18"/>
              </w:rPr>
              <w:t>Stormwater</w:t>
            </w:r>
          </w:p>
        </w:tc>
        <w:tc>
          <w:tcPr>
            <w:tcW w:type="dxa" w:w="2880"/>
          </w:tcPr>
          <w:p>
            <w:pPr>
              <w:jc w:val="left"/>
            </w:pPr>
            <w:r/>
            <w:r>
              <w:rPr>
                <w:rFonts w:ascii="Arial" w:hAnsi="Arial"/>
                <w:b w:val="0"/>
                <w:sz w:val="18"/>
              </w:rPr>
              <w:t>MTWCD / Palm Bay</w:t>
            </w:r>
          </w:p>
        </w:tc>
        <w:tc>
          <w:tcPr>
            <w:tcW w:type="dxa" w:w="1152"/>
          </w:tcPr>
          <w:p>
            <w:pPr>
              <w:jc w:val="left"/>
            </w:pPr>
            <w:r/>
            <w:r>
              <w:rPr>
                <w:rFonts w:ascii="Arial" w:hAnsi="Arial"/>
                <w:b w:val="0"/>
                <w:sz w:val="18"/>
              </w:rPr>
              <w:t>N/A</w:t>
            </w:r>
          </w:p>
        </w:tc>
        <w:tc>
          <w:tcPr>
            <w:tcW w:type="dxa" w:w="4320"/>
          </w:tcPr>
          <w:p>
            <w:pPr>
              <w:jc w:val="left"/>
            </w:pPr>
            <w:r/>
            <w:r>
              <w:rPr>
                <w:rFonts w:ascii="Arial" w:hAnsi="Arial"/>
                <w:b w:val="0"/>
                <w:sz w:val="18"/>
              </w:rPr>
              <w:t>On-site system required. MTWCD permit required.</w:t>
            </w:r>
          </w:p>
        </w:tc>
      </w:tr>
      <w:tr>
        <w:tc>
          <w:tcPr>
            <w:tcW w:type="dxa" w:w="1728"/>
            <w:shd w:fill="F2F2F2" w:val="clear"/>
          </w:tcPr>
          <w:p>
            <w:pPr>
              <w:jc w:val="left"/>
            </w:pPr>
            <w:r/>
            <w:r>
              <w:rPr>
                <w:rFonts w:ascii="Arial" w:hAnsi="Arial"/>
                <w:b w:val="0"/>
                <w:sz w:val="18"/>
              </w:rPr>
              <w:t>Cable/Internet</w:t>
            </w:r>
          </w:p>
        </w:tc>
        <w:tc>
          <w:tcPr>
            <w:tcW w:type="dxa" w:w="2880"/>
            <w:shd w:fill="F2F2F2" w:val="clear"/>
          </w:tcPr>
          <w:p>
            <w:pPr>
              <w:jc w:val="left"/>
            </w:pPr>
            <w:r/>
            <w:r>
              <w:rPr>
                <w:rFonts w:ascii="Arial" w:hAnsi="Arial"/>
                <w:b w:val="0"/>
                <w:sz w:val="18"/>
              </w:rPr>
              <w:t>Spectrum</w:t>
            </w:r>
          </w:p>
        </w:tc>
        <w:tc>
          <w:tcPr>
            <w:tcW w:type="dxa" w:w="1152"/>
            <w:shd w:fill="F2F2F2" w:val="clear"/>
          </w:tcPr>
          <w:p>
            <w:pPr>
              <w:jc w:val="left"/>
            </w:pPr>
            <w:r/>
            <w:r>
              <w:rPr>
                <w:rFonts w:ascii="Arial" w:hAnsi="Arial"/>
                <w:b w:val="0"/>
                <w:sz w:val="18"/>
              </w:rPr>
              <w:t>YES</w:t>
            </w:r>
          </w:p>
        </w:tc>
        <w:tc>
          <w:tcPr>
            <w:tcW w:type="dxa" w:w="4320"/>
            <w:shd w:fill="F2F2F2" w:val="clear"/>
          </w:tcPr>
          <w:p>
            <w:pPr>
              <w:jc w:val="left"/>
            </w:pPr>
            <w:r/>
            <w:r>
              <w:rPr>
                <w:rFonts w:ascii="Arial" w:hAnsi="Arial"/>
                <w:b w:val="0"/>
                <w:sz w:val="18"/>
              </w:rPr>
              <w:t>100% coverage, up to 1 Gbps</w:t>
            </w:r>
          </w:p>
        </w:tc>
      </w:tr>
    </w:tbl>
    <w:p>
      <w:r>
        <w:rPr>
          <w:rFonts w:ascii="Arial" w:hAnsi="Arial"/>
          <w:b w:val="0"/>
          <w:i w:val="0"/>
          <w:sz w:val="20"/>
        </w:rPr>
      </w:r>
    </w:p>
    <w:p>
      <w:r>
        <w:rPr>
          <w:rFonts w:ascii="Arial" w:hAnsi="Arial"/>
          <w:b w:val="0"/>
          <w:i/>
          <w:sz w:val="20"/>
        </w:rPr>
        <w:t>* Water Availability Paradox: Despite a city wellhead within 200 feet, Palm Bay GIS designates this parcel as Water_Avail: NO. The wellhead is a raw water production well feeding a treatment plant, not the distribution system. A water main may not extend to this parcel's frontage.</w:t>
      </w:r>
    </w:p>
    <w:p>
      <w:r>
        <w:rPr>
          <w:rFonts w:ascii="Arial" w:hAnsi="Arial"/>
          <w:b w:val="0"/>
          <w:i w:val="0"/>
          <w:sz w:val="20"/>
        </w:rPr>
      </w:r>
    </w:p>
    <w:p>
      <w:r>
        <w:rPr>
          <w:rFonts w:ascii="Arial" w:hAnsi="Arial"/>
          <w:b/>
          <w:i w:val="0"/>
          <w:sz w:val="20"/>
        </w:rPr>
        <w:t>Sewer Extension Analysis</w:t>
      </w:r>
    </w:p>
    <w:p>
      <w:r>
        <w:rPr>
          <w:rFonts w:ascii="Arial" w:hAnsi="Arial"/>
          <w:b w:val="0"/>
          <w:i w:val="0"/>
          <w:sz w:val="20"/>
        </w:rPr>
        <w:t>Adjacent parcels (2153, 2240, 2260, 2300 Sandy Pines Dr) have both water and sewer available, suggesting the sewer main runs along Sandy Pines Drive but does not extend to this parcel's frontage. Sewer extension cost is estimated at $50-$100 per linear foot. Distance to nearest main is unknown but may be at 2153 Sandy Pines Dr (adjacent parcel).</w:t>
      </w:r>
    </w:p>
    <w:p>
      <w:r>
        <w:rPr>
          <w:rFonts w:ascii="Arial" w:hAnsi="Arial"/>
          <w:b w:val="0"/>
          <w:i w:val="0"/>
          <w:sz w:val="20"/>
        </w:rPr>
      </w:r>
    </w:p>
    <w:p>
      <w:r>
        <w:rPr>
          <w:rFonts w:ascii="Arial" w:hAnsi="Arial"/>
          <w:b/>
          <w:i w:val="0"/>
          <w:sz w:val="20"/>
        </w:rPr>
        <w:t>Impact Fees</w:t>
      </w:r>
    </w:p>
    <w:tbl>
      <w:tblPr>
        <w:tblStyle w:val="TableGrid"/>
        <w:tblW w:type="auto" w:w="0"/>
        <w:jc w:val="center"/>
        <w:tblLook w:firstColumn="1" w:firstRow="1" w:lastColumn="0" w:lastRow="0" w:noHBand="0" w:noVBand="1" w:val="04A0"/>
      </w:tblPr>
      <w:tblGrid>
        <w:gridCol w:w="4703"/>
        <w:gridCol w:w="4703"/>
      </w:tblGrid>
      <w:tr>
        <w:tc>
          <w:tcPr>
            <w:tcW w:type="dxa" w:w="5040"/>
            <w:shd w:fill="1E3A5F" w:val="clear"/>
          </w:tcPr>
          <w:p>
            <w:pPr>
              <w:jc w:val="center"/>
            </w:pPr>
            <w:r>
              <w:rPr>
                <w:rFonts w:ascii="Arial" w:hAnsi="Arial"/>
                <w:b/>
                <w:color w:val="FFFFFF"/>
                <w:sz w:val="18"/>
              </w:rPr>
            </w:r>
            <w:r>
              <w:rPr>
                <w:rFonts w:ascii="Arial" w:hAnsi="Arial"/>
                <w:b/>
                <w:color w:val="FFFFFF"/>
                <w:sz w:val="18"/>
              </w:rPr>
              <w:t>Fee Category</w:t>
            </w:r>
          </w:p>
        </w:tc>
        <w:tc>
          <w:tcPr>
            <w:tcW w:type="dxa" w:w="5040"/>
            <w:shd w:fill="1E3A5F" w:val="clear"/>
          </w:tcPr>
          <w:p>
            <w:pPr>
              <w:jc w:val="center"/>
            </w:pPr>
            <w:r>
              <w:rPr>
                <w:rFonts w:ascii="Arial" w:hAnsi="Arial"/>
                <w:b/>
                <w:color w:val="FFFFFF"/>
                <w:sz w:val="18"/>
              </w:rPr>
            </w:r>
            <w:r>
              <w:rPr>
                <w:rFonts w:ascii="Arial" w:hAnsi="Arial"/>
                <w:b/>
                <w:color w:val="FFFFFF"/>
                <w:sz w:val="18"/>
              </w:rPr>
              <w:t>Amount</w:t>
            </w:r>
          </w:p>
        </w:tc>
      </w:tr>
      <w:tr>
        <w:tc>
          <w:tcPr>
            <w:tcW w:type="dxa" w:w="5040"/>
          </w:tcPr>
          <w:p>
            <w:pPr>
              <w:jc w:val="left"/>
            </w:pPr>
            <w:r/>
            <w:r>
              <w:rPr>
                <w:rFonts w:ascii="Arial" w:hAnsi="Arial"/>
                <w:b w:val="0"/>
                <w:sz w:val="18"/>
              </w:rPr>
              <w:t>Palm Bay Water</w:t>
            </w:r>
          </w:p>
        </w:tc>
        <w:tc>
          <w:tcPr>
            <w:tcW w:type="dxa" w:w="5040"/>
          </w:tcPr>
          <w:p>
            <w:pPr>
              <w:jc w:val="left"/>
            </w:pPr>
            <w:r/>
            <w:r>
              <w:rPr>
                <w:rFonts w:ascii="Arial" w:hAnsi="Arial"/>
                <w:b w:val="0"/>
                <w:sz w:val="18"/>
              </w:rPr>
              <w:t>$2,221/unit</w:t>
            </w:r>
          </w:p>
        </w:tc>
      </w:tr>
      <w:tr>
        <w:tc>
          <w:tcPr>
            <w:tcW w:type="dxa" w:w="5040"/>
            <w:shd w:fill="F2F2F2" w:val="clear"/>
          </w:tcPr>
          <w:p>
            <w:pPr>
              <w:jc w:val="left"/>
            </w:pPr>
            <w:r/>
            <w:r>
              <w:rPr>
                <w:rFonts w:ascii="Arial" w:hAnsi="Arial"/>
                <w:b w:val="0"/>
                <w:sz w:val="18"/>
              </w:rPr>
              <w:t>Palm Bay Sewer</w:t>
            </w:r>
          </w:p>
        </w:tc>
        <w:tc>
          <w:tcPr>
            <w:tcW w:type="dxa" w:w="5040"/>
            <w:shd w:fill="F2F2F2" w:val="clear"/>
          </w:tcPr>
          <w:p>
            <w:pPr>
              <w:jc w:val="left"/>
            </w:pPr>
            <w:r/>
            <w:r>
              <w:rPr>
                <w:rFonts w:ascii="Arial" w:hAnsi="Arial"/>
                <w:b w:val="0"/>
                <w:sz w:val="18"/>
              </w:rPr>
              <w:t>$3,544/unit</w:t>
            </w:r>
          </w:p>
        </w:tc>
      </w:tr>
      <w:tr>
        <w:tc>
          <w:tcPr>
            <w:tcW w:type="dxa" w:w="5040"/>
          </w:tcPr>
          <w:p>
            <w:pPr>
              <w:jc w:val="left"/>
            </w:pPr>
            <w:r/>
            <w:r>
              <w:rPr>
                <w:rFonts w:ascii="Arial" w:hAnsi="Arial"/>
                <w:b w:val="0"/>
                <w:sz w:val="18"/>
              </w:rPr>
              <w:t>Brevard County Transportation</w:t>
            </w:r>
          </w:p>
        </w:tc>
        <w:tc>
          <w:tcPr>
            <w:tcW w:type="dxa" w:w="5040"/>
          </w:tcPr>
          <w:p>
            <w:pPr>
              <w:jc w:val="left"/>
            </w:pPr>
            <w:r/>
            <w:r>
              <w:rPr>
                <w:rFonts w:ascii="Arial" w:hAnsi="Arial"/>
                <w:b w:val="0"/>
                <w:sz w:val="18"/>
              </w:rPr>
              <w:t>$2,381/unit (3+ story)</w:t>
            </w:r>
          </w:p>
        </w:tc>
      </w:tr>
      <w:tr>
        <w:tc>
          <w:tcPr>
            <w:tcW w:type="dxa" w:w="5040"/>
            <w:shd w:fill="F2F2F2" w:val="clear"/>
          </w:tcPr>
          <w:p>
            <w:pPr>
              <w:jc w:val="left"/>
            </w:pPr>
            <w:r/>
            <w:r>
              <w:rPr>
                <w:rFonts w:ascii="Arial" w:hAnsi="Arial"/>
                <w:b w:val="0"/>
                <w:sz w:val="18"/>
              </w:rPr>
              <w:t>Brevard County Education</w:t>
            </w:r>
          </w:p>
        </w:tc>
        <w:tc>
          <w:tcPr>
            <w:tcW w:type="dxa" w:w="5040"/>
            <w:shd w:fill="F2F2F2" w:val="clear"/>
          </w:tcPr>
          <w:p>
            <w:pPr>
              <w:jc w:val="left"/>
            </w:pPr>
            <w:r/>
            <w:r>
              <w:rPr>
                <w:rFonts w:ascii="Arial" w:hAnsi="Arial"/>
                <w:b w:val="0"/>
                <w:sz w:val="18"/>
              </w:rPr>
              <w:t>$1,941/unit</w:t>
            </w:r>
          </w:p>
        </w:tc>
      </w:tr>
      <w:tr>
        <w:tc>
          <w:tcPr>
            <w:tcW w:type="dxa" w:w="5040"/>
          </w:tcPr>
          <w:p>
            <w:pPr>
              <w:jc w:val="left"/>
            </w:pPr>
            <w:r/>
            <w:r>
              <w:rPr>
                <w:rFonts w:ascii="Arial" w:hAnsi="Arial"/>
                <w:b w:val="0"/>
                <w:sz w:val="18"/>
              </w:rPr>
              <w:t>Brevard County Other</w:t>
            </w:r>
          </w:p>
        </w:tc>
        <w:tc>
          <w:tcPr>
            <w:tcW w:type="dxa" w:w="5040"/>
          </w:tcPr>
          <w:p>
            <w:pPr>
              <w:jc w:val="left"/>
            </w:pPr>
            <w:r/>
            <w:r>
              <w:rPr>
                <w:rFonts w:ascii="Arial" w:hAnsi="Arial"/>
                <w:b w:val="0"/>
                <w:sz w:val="18"/>
              </w:rPr>
              <w:t>$1,750/unit (est.)</w:t>
            </w:r>
          </w:p>
        </w:tc>
      </w:tr>
      <w:tr>
        <w:tc>
          <w:tcPr>
            <w:tcW w:type="dxa" w:w="5040"/>
            <w:shd w:fill="F2F2F2" w:val="clear"/>
          </w:tcPr>
          <w:p>
            <w:pPr>
              <w:jc w:val="left"/>
            </w:pPr>
            <w:r/>
            <w:r>
              <w:rPr>
                <w:rFonts w:ascii="Arial" w:hAnsi="Arial"/>
                <w:b/>
                <w:sz w:val="18"/>
              </w:rPr>
              <w:t>Total per Unit</w:t>
            </w:r>
          </w:p>
        </w:tc>
        <w:tc>
          <w:tcPr>
            <w:tcW w:type="dxa" w:w="5040"/>
            <w:shd w:fill="F2F2F2" w:val="clear"/>
          </w:tcPr>
          <w:p>
            <w:pPr>
              <w:jc w:val="left"/>
            </w:pPr>
            <w:r/>
            <w:r>
              <w:rPr>
                <w:rFonts w:ascii="Arial" w:hAnsi="Arial"/>
                <w:b/>
                <w:sz w:val="18"/>
              </w:rPr>
              <w:t>$11,837/unit</w:t>
            </w:r>
          </w:p>
        </w:tc>
      </w:tr>
      <w:tr>
        <w:tc>
          <w:tcPr>
            <w:tcW w:type="dxa" w:w="5040"/>
          </w:tcPr>
          <w:p>
            <w:pPr>
              <w:jc w:val="left"/>
            </w:pPr>
            <w:r/>
            <w:r>
              <w:rPr>
                <w:rFonts w:ascii="Arial" w:hAnsi="Arial"/>
                <w:b w:val="0"/>
                <w:sz w:val="18"/>
              </w:rPr>
              <w:t>Total (11 units)</w:t>
            </w:r>
          </w:p>
        </w:tc>
        <w:tc>
          <w:tcPr>
            <w:tcW w:type="dxa" w:w="5040"/>
          </w:tcPr>
          <w:p>
            <w:pPr>
              <w:jc w:val="left"/>
            </w:pPr>
            <w:r/>
            <w:r>
              <w:rPr>
                <w:rFonts w:ascii="Arial" w:hAnsi="Arial"/>
                <w:b w:val="0"/>
                <w:sz w:val="18"/>
              </w:rPr>
              <w:t>$130,207</w:t>
            </w:r>
          </w:p>
        </w:tc>
      </w:tr>
      <w:tr>
        <w:tc>
          <w:tcPr>
            <w:tcW w:type="dxa" w:w="5040"/>
            <w:shd w:fill="F2F2F2" w:val="clear"/>
          </w:tcPr>
          <w:p>
            <w:pPr>
              <w:jc w:val="left"/>
            </w:pPr>
            <w:r/>
            <w:r>
              <w:rPr>
                <w:rFonts w:ascii="Arial" w:hAnsi="Arial"/>
                <w:b w:val="0"/>
                <w:sz w:val="18"/>
              </w:rPr>
              <w:t>Total (22 units)</w:t>
            </w:r>
          </w:p>
        </w:tc>
        <w:tc>
          <w:tcPr>
            <w:tcW w:type="dxa" w:w="5040"/>
            <w:shd w:fill="F2F2F2" w:val="clear"/>
          </w:tcPr>
          <w:p>
            <w:pPr>
              <w:jc w:val="left"/>
            </w:pPr>
            <w:r/>
            <w:r>
              <w:rPr>
                <w:rFonts w:ascii="Arial" w:hAnsi="Arial"/>
                <w:b w:val="0"/>
                <w:sz w:val="18"/>
              </w:rPr>
              <w:t>$260,414</w:t>
            </w:r>
          </w:p>
        </w:tc>
      </w:tr>
    </w:tbl>
    <w:p>
      <w:r>
        <w:br w:type="page"/>
      </w:r>
    </w:p>
    <w:p>
      <w:pPr>
        <w:pStyle w:val="Heading1"/>
      </w:pPr>
      <w:r>
        <w:rPr>
          <w:rFonts w:ascii="Arial" w:hAnsi="Arial"/>
          <w:color w:val="1E3A5F"/>
        </w:rPr>
        <w:t>Section 6: Traffic &amp; Access</w:t>
      </w:r>
    </w:p>
    <w:p>
      <w:r>
        <w:rPr>
          <w:rFonts w:ascii="Arial" w:hAnsi="Arial"/>
          <w:b/>
          <w:i w:val="0"/>
          <w:sz w:val="20"/>
        </w:rPr>
        <w:t>Road Network</w:t>
      </w:r>
    </w:p>
    <w:p>
      <w:r>
        <w:rPr>
          <w:rFonts w:ascii="Arial" w:hAnsi="Arial"/>
          <w:b w:val="0"/>
          <w:i w:val="0"/>
          <w:sz w:val="20"/>
        </w:rPr>
        <w:t>Sandy Pines Drive NE is a PRIVATE road within the Sandy Pines Preserve gated community. All traffic from the proposed development must pass through the community's security gate and HOA-controlled roads before reaching Malabar Road (SR 514).</w:t>
      </w:r>
    </w:p>
    <w:p>
      <w:r>
        <w:rPr>
          <w:rFonts w:ascii="Arial" w:hAnsi="Arial"/>
          <w:b w:val="0"/>
          <w:i w:val="0"/>
          <w:sz w:val="20"/>
        </w:rPr>
      </w:r>
    </w:p>
    <w:p>
      <w:r>
        <w:rPr>
          <w:rFonts w:ascii="Arial" w:hAnsi="Arial"/>
          <w:b/>
          <w:i w:val="0"/>
          <w:sz w:val="20"/>
        </w:rPr>
        <w:t>ITE Trip Generation (LU 221 — Mid-Rise Multifamily)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fill="1E3A5F" w:val="clear"/>
          </w:tcPr>
          <w:p>
            <w:pPr>
              <w:jc w:val="center"/>
            </w:pPr>
            <w:r>
              <w:rPr>
                <w:rFonts w:ascii="Arial" w:hAnsi="Arial"/>
                <w:b/>
                <w:color w:val="FFFFFF"/>
                <w:sz w:val="18"/>
              </w:rPr>
            </w:r>
            <w:r>
              <w:rPr>
                <w:rFonts w:ascii="Arial" w:hAnsi="Arial"/>
                <w:b/>
                <w:color w:val="FFFFFF"/>
                <w:sz w:val="18"/>
              </w:rPr>
              <w:t>Scenario</w:t>
            </w:r>
          </w:p>
        </w:tc>
        <w:tc>
          <w:tcPr>
            <w:tcW w:type="dxa" w:w="2160"/>
            <w:shd w:fill="1E3A5F" w:val="clear"/>
          </w:tcPr>
          <w:p>
            <w:pPr>
              <w:jc w:val="center"/>
            </w:pPr>
            <w:r>
              <w:rPr>
                <w:rFonts w:ascii="Arial" w:hAnsi="Arial"/>
                <w:b/>
                <w:color w:val="FFFFFF"/>
                <w:sz w:val="18"/>
              </w:rPr>
            </w:r>
            <w:r>
              <w:rPr>
                <w:rFonts w:ascii="Arial" w:hAnsi="Arial"/>
                <w:b/>
                <w:color w:val="FFFFFF"/>
                <w:sz w:val="18"/>
              </w:rPr>
              <w:t>Daily Trips</w:t>
            </w:r>
          </w:p>
        </w:tc>
        <w:tc>
          <w:tcPr>
            <w:tcW w:type="dxa" w:w="2160"/>
            <w:shd w:fill="1E3A5F" w:val="clear"/>
          </w:tcPr>
          <w:p>
            <w:pPr>
              <w:jc w:val="center"/>
            </w:pPr>
            <w:r>
              <w:rPr>
                <w:rFonts w:ascii="Arial" w:hAnsi="Arial"/>
                <w:b/>
                <w:color w:val="FFFFFF"/>
                <w:sz w:val="18"/>
              </w:rPr>
            </w:r>
            <w:r>
              <w:rPr>
                <w:rFonts w:ascii="Arial" w:hAnsi="Arial"/>
                <w:b/>
                <w:color w:val="FFFFFF"/>
                <w:sz w:val="18"/>
              </w:rPr>
              <w:t>AM Peak</w:t>
            </w:r>
          </w:p>
        </w:tc>
        <w:tc>
          <w:tcPr>
            <w:tcW w:type="dxa" w:w="2160"/>
            <w:shd w:fill="1E3A5F" w:val="clear"/>
          </w:tcPr>
          <w:p>
            <w:pPr>
              <w:jc w:val="center"/>
            </w:pPr>
            <w:r>
              <w:rPr>
                <w:rFonts w:ascii="Arial" w:hAnsi="Arial"/>
                <w:b/>
                <w:color w:val="FFFFFF"/>
                <w:sz w:val="18"/>
              </w:rPr>
            </w:r>
            <w:r>
              <w:rPr>
                <w:rFonts w:ascii="Arial" w:hAnsi="Arial"/>
                <w:b/>
                <w:color w:val="FFFFFF"/>
                <w:sz w:val="18"/>
              </w:rPr>
              <w:t>PM Peak</w:t>
            </w:r>
          </w:p>
        </w:tc>
      </w:tr>
      <w:tr>
        <w:tc>
          <w:tcPr>
            <w:tcW w:type="dxa" w:w="2880"/>
          </w:tcPr>
          <w:p>
            <w:pPr>
              <w:jc w:val="left"/>
            </w:pPr>
            <w:r/>
            <w:r>
              <w:rPr>
                <w:rFonts w:ascii="Arial" w:hAnsi="Arial"/>
                <w:b w:val="0"/>
                <w:sz w:val="18"/>
              </w:rPr>
              <w:t>11-unit scenario</w:t>
            </w:r>
          </w:p>
        </w:tc>
        <w:tc>
          <w:tcPr>
            <w:tcW w:type="dxa" w:w="2160"/>
          </w:tcPr>
          <w:p>
            <w:pPr>
              <w:jc w:val="left"/>
            </w:pPr>
            <w:r/>
            <w:r>
              <w:rPr>
                <w:rFonts w:ascii="Arial" w:hAnsi="Arial"/>
                <w:b w:val="0"/>
                <w:sz w:val="18"/>
              </w:rPr>
              <w:t>50 ADT</w:t>
            </w:r>
          </w:p>
        </w:tc>
        <w:tc>
          <w:tcPr>
            <w:tcW w:type="dxa" w:w="2160"/>
          </w:tcPr>
          <w:p>
            <w:pPr>
              <w:jc w:val="left"/>
            </w:pPr>
            <w:r/>
            <w:r>
              <w:rPr>
                <w:rFonts w:ascii="Arial" w:hAnsi="Arial"/>
                <w:b w:val="0"/>
                <w:sz w:val="18"/>
              </w:rPr>
              <w:t>4</w:t>
            </w:r>
          </w:p>
        </w:tc>
        <w:tc>
          <w:tcPr>
            <w:tcW w:type="dxa" w:w="2160"/>
          </w:tcPr>
          <w:p>
            <w:pPr>
              <w:jc w:val="left"/>
            </w:pPr>
            <w:r/>
            <w:r>
              <w:rPr>
                <w:rFonts w:ascii="Arial" w:hAnsi="Arial"/>
                <w:b w:val="0"/>
                <w:sz w:val="18"/>
              </w:rPr>
              <w:t>4</w:t>
            </w:r>
          </w:p>
        </w:tc>
      </w:tr>
      <w:tr>
        <w:tc>
          <w:tcPr>
            <w:tcW w:type="dxa" w:w="2880"/>
            <w:shd w:fill="F2F2F2" w:val="clear"/>
          </w:tcPr>
          <w:p>
            <w:pPr>
              <w:jc w:val="left"/>
            </w:pPr>
            <w:r/>
            <w:r>
              <w:rPr>
                <w:rFonts w:ascii="Arial" w:hAnsi="Arial"/>
                <w:b w:val="0"/>
                <w:sz w:val="18"/>
              </w:rPr>
              <w:t>22-unit scenario</w:t>
            </w:r>
          </w:p>
        </w:tc>
        <w:tc>
          <w:tcPr>
            <w:tcW w:type="dxa" w:w="2160"/>
            <w:shd w:fill="F2F2F2" w:val="clear"/>
          </w:tcPr>
          <w:p>
            <w:pPr>
              <w:jc w:val="left"/>
            </w:pPr>
            <w:r/>
            <w:r>
              <w:rPr>
                <w:rFonts w:ascii="Arial" w:hAnsi="Arial"/>
                <w:b w:val="0"/>
                <w:sz w:val="18"/>
              </w:rPr>
              <w:t>100 ADT</w:t>
            </w:r>
          </w:p>
        </w:tc>
        <w:tc>
          <w:tcPr>
            <w:tcW w:type="dxa" w:w="2160"/>
            <w:shd w:fill="F2F2F2" w:val="clear"/>
          </w:tcPr>
          <w:p>
            <w:pPr>
              <w:jc w:val="left"/>
            </w:pPr>
            <w:r/>
            <w:r>
              <w:rPr>
                <w:rFonts w:ascii="Arial" w:hAnsi="Arial"/>
                <w:b w:val="0"/>
                <w:sz w:val="18"/>
              </w:rPr>
              <w:t>8</w:t>
            </w:r>
          </w:p>
        </w:tc>
        <w:tc>
          <w:tcPr>
            <w:tcW w:type="dxa" w:w="2160"/>
            <w:shd w:fill="F2F2F2" w:val="clear"/>
          </w:tcPr>
          <w:p>
            <w:pPr>
              <w:jc w:val="left"/>
            </w:pPr>
            <w:r/>
            <w:r>
              <w:rPr>
                <w:rFonts w:ascii="Arial" w:hAnsi="Arial"/>
                <w:b w:val="0"/>
                <w:sz w:val="18"/>
              </w:rPr>
              <w:t>9</w:t>
            </w:r>
          </w:p>
        </w:tc>
      </w:tr>
    </w:tbl>
    <w:p>
      <w:r>
        <w:rPr>
          <w:rFonts w:ascii="Arial" w:hAnsi="Arial"/>
          <w:b w:val="0"/>
          <w:i w:val="0"/>
          <w:sz w:val="20"/>
        </w:rPr>
      </w:r>
    </w:p>
    <w:p>
      <w:r>
        <w:rPr>
          <w:rFonts w:ascii="Arial" w:hAnsi="Arial"/>
          <w:b w:val="0"/>
          <w:i w:val="0"/>
          <w:sz w:val="20"/>
        </w:rPr>
        <w:t>Both scenarios generate well below 100 peak-hour trips, which is the common Florida threshold for requiring a formal Traffic Impact Study (TIS). The project's impact on Malabar Road (SR 514) is de minimis at 0.3-0.6% of corridor volume.</w:t>
      </w:r>
    </w:p>
    <w:p>
      <w:r>
        <w:rPr>
          <w:rFonts w:ascii="Arial" w:hAnsi="Arial"/>
          <w:b w:val="0"/>
          <w:i w:val="0"/>
          <w:sz w:val="20"/>
        </w:rPr>
      </w:r>
    </w:p>
    <w:p>
      <w:r>
        <w:rPr>
          <w:rFonts w:ascii="Arial" w:hAnsi="Arial"/>
          <w:b/>
          <w:i w:val="0"/>
          <w:sz w:val="20"/>
        </w:rPr>
        <w:t>Malabar Road (SR 514) Conditions</w:t>
      </w:r>
    </w:p>
    <w:p>
      <w:pPr>
        <w:pStyle w:val="ListBullet"/>
      </w:pPr>
      <w:r>
        <w:rPr>
          <w:rFonts w:ascii="Arial" w:hAnsi="Arial"/>
          <w:b/>
          <w:sz w:val="20"/>
        </w:rPr>
        <w:t>Current:</w:t>
      </w:r>
      <w:r>
        <w:rPr>
          <w:rFonts w:ascii="Arial" w:hAnsi="Arial"/>
          <w:sz w:val="20"/>
        </w:rPr>
        <w:t xml:space="preserve"> 16,000 AADT on a 2-lane undivided road — severely congested</w:t>
      </w:r>
    </w:p>
    <w:p>
      <w:pPr>
        <w:pStyle w:val="ListBullet"/>
      </w:pPr>
      <w:r>
        <w:rPr>
          <w:rFonts w:ascii="Arial" w:hAnsi="Arial"/>
          <w:b/>
          <w:sz w:val="20"/>
        </w:rPr>
        <w:t>Widening:</w:t>
      </w:r>
      <w:r>
        <w:rPr>
          <w:rFonts w:ascii="Arial" w:hAnsi="Arial"/>
          <w:sz w:val="20"/>
        </w:rPr>
        <w:t xml:space="preserve"> FDOT PD&amp;E completed May 2018 — widen to 4-lane divided ($84M-$97M). NOT FUNDED.</w:t>
      </w:r>
    </w:p>
    <w:p>
      <w:pPr>
        <w:pStyle w:val="ListBullet"/>
      </w:pPr>
      <w:r>
        <w:rPr>
          <w:rFonts w:ascii="Arial" w:hAnsi="Arial"/>
          <w:b/>
          <w:sz w:val="20"/>
        </w:rPr>
        <w:t>Safety:</w:t>
      </w:r>
      <w:r>
        <w:rPr>
          <w:rFonts w:ascii="Arial" w:hAnsi="Arial"/>
          <w:sz w:val="20"/>
        </w:rPr>
        <w:t xml:space="preserve"> 56% increase in crashes over 5 years</w:t>
      </w:r>
    </w:p>
    <w:p>
      <w:r>
        <w:rPr>
          <w:rFonts w:ascii="Arial" w:hAnsi="Arial"/>
          <w:b w:val="0"/>
          <w:i w:val="0"/>
          <w:sz w:val="20"/>
        </w:rPr>
      </w:r>
    </w:p>
    <w:p>
      <w:r>
        <w:rPr>
          <w:rFonts w:ascii="Arial" w:hAnsi="Arial"/>
          <w:b/>
          <w:i w:val="0"/>
          <w:sz w:val="20"/>
        </w:rPr>
        <w:t>Private Road / HOA Considerations</w:t>
      </w:r>
    </w:p>
    <w:p>
      <w:pPr>
        <w:pStyle w:val="ListBullet"/>
      </w:pPr>
      <w:r>
        <w:rPr>
          <w:rFonts w:ascii="Arial" w:hAnsi="Arial"/>
          <w:sz w:val="20"/>
        </w:rPr>
        <w:t>HOA Board approval required for any change in use or increased traffic</w:t>
      </w:r>
    </w:p>
    <w:p>
      <w:pPr>
        <w:pStyle w:val="ListBullet"/>
      </w:pPr>
      <w:r>
        <w:rPr>
          <w:rFonts w:ascii="Arial" w:hAnsi="Arial"/>
          <w:sz w:val="20"/>
        </w:rPr>
        <w:t>Road maintenance contribution agreement likely needed</w:t>
      </w:r>
    </w:p>
    <w:p>
      <w:pPr>
        <w:pStyle w:val="ListBullet"/>
      </w:pPr>
      <w:r>
        <w:rPr>
          <w:rFonts w:ascii="Arial" w:hAnsi="Arial"/>
          <w:sz w:val="20"/>
        </w:rPr>
        <w:t>Emergency vehicle access must be verified with Palm Bay Fire-Rescue</w:t>
      </w:r>
    </w:p>
    <w:p>
      <w:pPr>
        <w:pStyle w:val="ListBullet"/>
      </w:pPr>
      <w:r>
        <w:rPr>
          <w:rFonts w:ascii="Arial" w:hAnsi="Arial"/>
          <w:sz w:val="20"/>
        </w:rPr>
        <w:t>Construction traffic access through gated community requires HOA coordination</w:t>
      </w:r>
    </w:p>
    <w:p>
      <w:r>
        <w:br w:type="page"/>
      </w:r>
    </w:p>
    <w:p>
      <w:pPr>
        <w:pStyle w:val="Heading1"/>
      </w:pPr>
      <w:r>
        <w:rPr>
          <w:rFonts w:ascii="Arial" w:hAnsi="Arial"/>
          <w:color w:val="1E3A5F"/>
        </w:rPr>
        <w:t>Section 7: HOA &amp; CC&amp;R Analysis</w:t>
      </w:r>
    </w:p>
    <w:p>
      <w:r>
        <w:rPr>
          <w:rFonts w:ascii="Arial" w:hAnsi="Arial"/>
          <w:b/>
          <w:color w:val="CC0000"/>
          <w:sz w:val="24"/>
        </w:rPr>
        <w:t>WARNING: POTENTIAL FATAL CONSTRAINT</w:t>
      </w:r>
    </w:p>
    <w:p>
      <w:r>
        <w:rPr>
          <w:rFonts w:ascii="Arial" w:hAnsi="Arial"/>
          <w:b w:val="0"/>
          <w:i w:val="0"/>
          <w:sz w:val="20"/>
        </w:rPr>
      </w:r>
    </w:p>
    <w:p>
      <w:r>
        <w:rPr>
          <w:rFonts w:ascii="Arial" w:hAnsi="Arial"/>
          <w:b/>
          <w:i w:val="0"/>
          <w:sz w:val="20"/>
        </w:rPr>
        <w:t>Community Profile</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Item</w:t>
            </w:r>
          </w:p>
        </w:tc>
        <w:tc>
          <w:tcPr>
            <w:tcW w:type="dxa" w:w="6480"/>
            <w:shd w:fill="1E3A5F" w:val="clear"/>
          </w:tcPr>
          <w:p>
            <w:pPr>
              <w:jc w:val="center"/>
            </w:pPr>
            <w:r>
              <w:rPr>
                <w:rFonts w:ascii="Arial" w:hAnsi="Arial"/>
                <w:b/>
                <w:color w:val="FFFFFF"/>
                <w:sz w:val="18"/>
              </w:rPr>
            </w:r>
            <w:r>
              <w:rPr>
                <w:rFonts w:ascii="Arial" w:hAnsi="Arial"/>
                <w:b/>
                <w:color w:val="FFFFFF"/>
                <w:sz w:val="18"/>
              </w:rPr>
              <w:t>Detail</w:t>
            </w:r>
          </w:p>
        </w:tc>
      </w:tr>
      <w:tr>
        <w:tc>
          <w:tcPr>
            <w:tcW w:type="dxa" w:w="3600"/>
          </w:tcPr>
          <w:p>
            <w:pPr>
              <w:jc w:val="left"/>
            </w:pPr>
            <w:r/>
            <w:r>
              <w:rPr>
                <w:rFonts w:ascii="Arial" w:hAnsi="Arial"/>
                <w:b w:val="0"/>
                <w:sz w:val="18"/>
              </w:rPr>
              <w:t>Community</w:t>
            </w:r>
          </w:p>
        </w:tc>
        <w:tc>
          <w:tcPr>
            <w:tcW w:type="dxa" w:w="6480"/>
          </w:tcPr>
          <w:p>
            <w:pPr>
              <w:jc w:val="left"/>
            </w:pPr>
            <w:r/>
            <w:r>
              <w:rPr>
                <w:rFonts w:ascii="Arial" w:hAnsi="Arial"/>
                <w:b w:val="0"/>
                <w:sz w:val="18"/>
              </w:rPr>
              <w:t>Sandy Pines Preserve</w:t>
            </w:r>
          </w:p>
        </w:tc>
      </w:tr>
      <w:tr>
        <w:tc>
          <w:tcPr>
            <w:tcW w:type="dxa" w:w="3600"/>
            <w:shd w:fill="F2F2F2" w:val="clear"/>
          </w:tcPr>
          <w:p>
            <w:pPr>
              <w:jc w:val="left"/>
            </w:pPr>
            <w:r/>
            <w:r>
              <w:rPr>
                <w:rFonts w:ascii="Arial" w:hAnsi="Arial"/>
                <w:b w:val="0"/>
                <w:sz w:val="18"/>
              </w:rPr>
              <w:t>Type</w:t>
            </w:r>
          </w:p>
        </w:tc>
        <w:tc>
          <w:tcPr>
            <w:tcW w:type="dxa" w:w="6480"/>
            <w:shd w:fill="F2F2F2" w:val="clear"/>
          </w:tcPr>
          <w:p>
            <w:pPr>
              <w:jc w:val="left"/>
            </w:pPr>
            <w:r/>
            <w:r>
              <w:rPr>
                <w:rFonts w:ascii="Arial" w:hAnsi="Arial"/>
                <w:b w:val="0"/>
                <w:sz w:val="18"/>
              </w:rPr>
              <w:t>Gated community with security access</w:t>
            </w:r>
          </w:p>
        </w:tc>
      </w:tr>
      <w:tr>
        <w:tc>
          <w:tcPr>
            <w:tcW w:type="dxa" w:w="3600"/>
          </w:tcPr>
          <w:p>
            <w:pPr>
              <w:jc w:val="left"/>
            </w:pPr>
            <w:r/>
            <w:r>
              <w:rPr>
                <w:rFonts w:ascii="Arial" w:hAnsi="Arial"/>
                <w:b w:val="0"/>
                <w:sz w:val="18"/>
              </w:rPr>
              <w:t>Year Built</w:t>
            </w:r>
          </w:p>
        </w:tc>
        <w:tc>
          <w:tcPr>
            <w:tcW w:type="dxa" w:w="6480"/>
          </w:tcPr>
          <w:p>
            <w:pPr>
              <w:jc w:val="left"/>
            </w:pPr>
            <w:r/>
            <w:r>
              <w:rPr>
                <w:rFonts w:ascii="Arial" w:hAnsi="Arial"/>
                <w:b w:val="0"/>
                <w:sz w:val="18"/>
              </w:rPr>
              <w:t>1998-2003</w:t>
            </w:r>
          </w:p>
        </w:tc>
      </w:tr>
      <w:tr>
        <w:tc>
          <w:tcPr>
            <w:tcW w:type="dxa" w:w="3600"/>
            <w:shd w:fill="F2F2F2" w:val="clear"/>
          </w:tcPr>
          <w:p>
            <w:pPr>
              <w:jc w:val="left"/>
            </w:pPr>
            <w:r/>
            <w:r>
              <w:rPr>
                <w:rFonts w:ascii="Arial" w:hAnsi="Arial"/>
                <w:b w:val="0"/>
                <w:sz w:val="18"/>
              </w:rPr>
              <w:t>Housing Types</w:t>
            </w:r>
          </w:p>
        </w:tc>
        <w:tc>
          <w:tcPr>
            <w:tcW w:type="dxa" w:w="6480"/>
            <w:shd w:fill="F2F2F2" w:val="clear"/>
          </w:tcPr>
          <w:p>
            <w:pPr>
              <w:jc w:val="left"/>
            </w:pPr>
            <w:r/>
            <w:r>
              <w:rPr>
                <w:rFonts w:ascii="Arial" w:hAnsi="Arial"/>
                <w:b w:val="0"/>
                <w:sz w:val="18"/>
              </w:rPr>
              <w:t>Single-family detached + townhomes (1-2 story only)</w:t>
            </w:r>
          </w:p>
        </w:tc>
      </w:tr>
      <w:tr>
        <w:tc>
          <w:tcPr>
            <w:tcW w:type="dxa" w:w="3600"/>
          </w:tcPr>
          <w:p>
            <w:pPr>
              <w:jc w:val="left"/>
            </w:pPr>
            <w:r/>
            <w:r>
              <w:rPr>
                <w:rFonts w:ascii="Arial" w:hAnsi="Arial"/>
                <w:b w:val="0"/>
                <w:sz w:val="18"/>
              </w:rPr>
              <w:t>Multifamily Buildings</w:t>
            </w:r>
          </w:p>
        </w:tc>
        <w:tc>
          <w:tcPr>
            <w:tcW w:type="dxa" w:w="6480"/>
          </w:tcPr>
          <w:p>
            <w:pPr>
              <w:jc w:val="left"/>
            </w:pPr>
            <w:r/>
            <w:r>
              <w:rPr>
                <w:rFonts w:ascii="Arial" w:hAnsi="Arial"/>
                <w:b w:val="0"/>
                <w:sz w:val="18"/>
              </w:rPr>
              <w:t>NONE exist anywhere in community</w:t>
            </w:r>
          </w:p>
        </w:tc>
      </w:tr>
      <w:tr>
        <w:tc>
          <w:tcPr>
            <w:tcW w:type="dxa" w:w="3600"/>
            <w:shd w:fill="F2F2F2" w:val="clear"/>
          </w:tcPr>
          <w:p>
            <w:pPr>
              <w:jc w:val="left"/>
            </w:pPr>
            <w:r/>
            <w:r>
              <w:rPr>
                <w:rFonts w:ascii="Arial" w:hAnsi="Arial"/>
                <w:b w:val="0"/>
                <w:sz w:val="18"/>
              </w:rPr>
              <w:t>HOA Fee (Phase 1&amp;2)</w:t>
            </w:r>
          </w:p>
        </w:tc>
        <w:tc>
          <w:tcPr>
            <w:tcW w:type="dxa" w:w="6480"/>
            <w:shd w:fill="F2F2F2" w:val="clear"/>
          </w:tcPr>
          <w:p>
            <w:pPr>
              <w:jc w:val="left"/>
            </w:pPr>
            <w:r/>
            <w:r>
              <w:rPr>
                <w:rFonts w:ascii="Arial" w:hAnsi="Arial"/>
                <w:b w:val="0"/>
                <w:sz w:val="18"/>
              </w:rPr>
              <w:t>$246/quarter (~$82/month)</w:t>
            </w:r>
          </w:p>
        </w:tc>
      </w:tr>
      <w:tr>
        <w:tc>
          <w:tcPr>
            <w:tcW w:type="dxa" w:w="3600"/>
          </w:tcPr>
          <w:p>
            <w:pPr>
              <w:jc w:val="left"/>
            </w:pPr>
            <w:r/>
            <w:r>
              <w:rPr>
                <w:rFonts w:ascii="Arial" w:hAnsi="Arial"/>
                <w:b w:val="0"/>
                <w:sz w:val="18"/>
              </w:rPr>
              <w:t>Median Sale Price</w:t>
            </w:r>
          </w:p>
        </w:tc>
        <w:tc>
          <w:tcPr>
            <w:tcW w:type="dxa" w:w="6480"/>
          </w:tcPr>
          <w:p>
            <w:pPr>
              <w:jc w:val="left"/>
            </w:pPr>
            <w:r/>
            <w:r>
              <w:rPr>
                <w:rFonts w:ascii="Arial" w:hAnsi="Arial"/>
                <w:b w:val="0"/>
                <w:sz w:val="18"/>
              </w:rPr>
              <w:t>$268,250 (Phase 1&amp;2)</w:t>
            </w:r>
          </w:p>
        </w:tc>
      </w:tr>
    </w:tbl>
    <w:p>
      <w:r>
        <w:rPr>
          <w:rFonts w:ascii="Arial" w:hAnsi="Arial"/>
          <w:b w:val="0"/>
          <w:i w:val="0"/>
          <w:sz w:val="20"/>
        </w:rPr>
      </w:r>
    </w:p>
    <w:p>
      <w:r>
        <w:rPr>
          <w:rFonts w:ascii="Arial" w:hAnsi="Arial"/>
          <w:b/>
          <w:i w:val="0"/>
          <w:sz w:val="20"/>
        </w:rPr>
        <w:t>HOA Governance Structure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1E3A5F" w:val="clear"/>
          </w:tcPr>
          <w:p>
            <w:pPr>
              <w:jc w:val="center"/>
            </w:pPr>
            <w:r>
              <w:rPr>
                <w:rFonts w:ascii="Arial" w:hAnsi="Arial"/>
                <w:b/>
                <w:color w:val="FFFFFF"/>
                <w:sz w:val="18"/>
              </w:rPr>
            </w:r>
            <w:r>
              <w:rPr>
                <w:rFonts w:ascii="Arial" w:hAnsi="Arial"/>
                <w:b/>
                <w:color w:val="FFFFFF"/>
                <w:sz w:val="18"/>
              </w:rPr>
              <w:t>Phase</w:t>
            </w:r>
          </w:p>
        </w:tc>
        <w:tc>
          <w:tcPr>
            <w:tcW w:type="dxa" w:w="2880"/>
            <w:shd w:fill="1E3A5F" w:val="clear"/>
          </w:tcPr>
          <w:p>
            <w:pPr>
              <w:jc w:val="center"/>
            </w:pPr>
            <w:r>
              <w:rPr>
                <w:rFonts w:ascii="Arial" w:hAnsi="Arial"/>
                <w:b/>
                <w:color w:val="FFFFFF"/>
                <w:sz w:val="18"/>
              </w:rPr>
            </w:r>
            <w:r>
              <w:rPr>
                <w:rFonts w:ascii="Arial" w:hAnsi="Arial"/>
                <w:b/>
                <w:color w:val="FFFFFF"/>
                <w:sz w:val="18"/>
              </w:rPr>
              <w:t>Management</w:t>
            </w:r>
          </w:p>
        </w:tc>
        <w:tc>
          <w:tcPr>
            <w:tcW w:type="dxa" w:w="2160"/>
            <w:shd w:fill="1E3A5F" w:val="clear"/>
          </w:tcPr>
          <w:p>
            <w:pPr>
              <w:jc w:val="center"/>
            </w:pPr>
            <w:r>
              <w:rPr>
                <w:rFonts w:ascii="Arial" w:hAnsi="Arial"/>
                <w:b/>
                <w:color w:val="FFFFFF"/>
                <w:sz w:val="18"/>
              </w:rPr>
            </w:r>
            <w:r>
              <w:rPr>
                <w:rFonts w:ascii="Arial" w:hAnsi="Arial"/>
                <w:b/>
                <w:color w:val="FFFFFF"/>
                <w:sz w:val="18"/>
              </w:rPr>
              <w:t>Phone</w:t>
            </w:r>
          </w:p>
        </w:tc>
        <w:tc>
          <w:tcPr>
            <w:tcW w:type="dxa" w:w="2880"/>
            <w:shd w:fill="1E3A5F" w:val="clear"/>
          </w:tcPr>
          <w:p>
            <w:pPr>
              <w:jc w:val="center"/>
            </w:pPr>
            <w:r>
              <w:rPr>
                <w:rFonts w:ascii="Arial" w:hAnsi="Arial"/>
                <w:b/>
                <w:color w:val="FFFFFF"/>
                <w:sz w:val="18"/>
              </w:rPr>
            </w:r>
            <w:r>
              <w:rPr>
                <w:rFonts w:ascii="Arial" w:hAnsi="Arial"/>
                <w:b/>
                <w:color w:val="FFFFFF"/>
                <w:sz w:val="18"/>
              </w:rPr>
              <w:t>Sunbiz Filing</w:t>
            </w:r>
          </w:p>
        </w:tc>
      </w:tr>
      <w:tr>
        <w:tc>
          <w:tcPr>
            <w:tcW w:type="dxa" w:w="2160"/>
          </w:tcPr>
          <w:p>
            <w:pPr>
              <w:jc w:val="left"/>
            </w:pPr>
            <w:r/>
            <w:r>
              <w:rPr>
                <w:rFonts w:ascii="Arial" w:hAnsi="Arial"/>
                <w:b w:val="0"/>
                <w:sz w:val="18"/>
              </w:rPr>
              <w:t>Phases 1 &amp; 2</w:t>
            </w:r>
          </w:p>
        </w:tc>
        <w:tc>
          <w:tcPr>
            <w:tcW w:type="dxa" w:w="2880"/>
          </w:tcPr>
          <w:p>
            <w:pPr>
              <w:jc w:val="left"/>
            </w:pPr>
            <w:r/>
            <w:r>
              <w:rPr>
                <w:rFonts w:ascii="Arial" w:hAnsi="Arial"/>
                <w:b w:val="0"/>
                <w:sz w:val="18"/>
              </w:rPr>
              <w:t>Leland Management</w:t>
            </w:r>
          </w:p>
        </w:tc>
        <w:tc>
          <w:tcPr>
            <w:tcW w:type="dxa" w:w="2160"/>
          </w:tcPr>
          <w:p>
            <w:pPr>
              <w:jc w:val="left"/>
            </w:pPr>
            <w:r/>
            <w:r>
              <w:rPr>
                <w:rFonts w:ascii="Arial" w:hAnsi="Arial"/>
                <w:b w:val="0"/>
                <w:sz w:val="18"/>
              </w:rPr>
              <w:t>(407) 447-9955</w:t>
            </w:r>
          </w:p>
        </w:tc>
        <w:tc>
          <w:tcPr>
            <w:tcW w:type="dxa" w:w="2880"/>
          </w:tcPr>
          <w:p>
            <w:pPr>
              <w:jc w:val="left"/>
            </w:pPr>
            <w:r/>
            <w:r>
              <w:rPr>
                <w:rFonts w:ascii="Arial" w:hAnsi="Arial"/>
                <w:b w:val="0"/>
                <w:sz w:val="18"/>
              </w:rPr>
              <w:t>N97000006305</w:t>
            </w:r>
          </w:p>
        </w:tc>
      </w:tr>
      <w:tr>
        <w:tc>
          <w:tcPr>
            <w:tcW w:type="dxa" w:w="2160"/>
            <w:shd w:fill="F2F2F2" w:val="clear"/>
          </w:tcPr>
          <w:p>
            <w:pPr>
              <w:jc w:val="left"/>
            </w:pPr>
            <w:r/>
            <w:r>
              <w:rPr>
                <w:rFonts w:ascii="Arial" w:hAnsi="Arial"/>
                <w:b w:val="0"/>
                <w:sz w:val="18"/>
              </w:rPr>
              <w:t>Phases 3 &amp; 4</w:t>
            </w:r>
          </w:p>
        </w:tc>
        <w:tc>
          <w:tcPr>
            <w:tcW w:type="dxa" w:w="2880"/>
            <w:shd w:fill="F2F2F2" w:val="clear"/>
          </w:tcPr>
          <w:p>
            <w:pPr>
              <w:jc w:val="left"/>
            </w:pPr>
            <w:r/>
            <w:r>
              <w:rPr>
                <w:rFonts w:ascii="Arial" w:hAnsi="Arial"/>
                <w:b w:val="0"/>
                <w:sz w:val="18"/>
              </w:rPr>
              <w:t>Artemis Lifestyles</w:t>
            </w:r>
          </w:p>
        </w:tc>
        <w:tc>
          <w:tcPr>
            <w:tcW w:type="dxa" w:w="2160"/>
            <w:shd w:fill="F2F2F2" w:val="clear"/>
          </w:tcPr>
          <w:p>
            <w:pPr>
              <w:jc w:val="left"/>
            </w:pPr>
            <w:r/>
            <w:r>
              <w:rPr>
                <w:rFonts w:ascii="Arial" w:hAnsi="Arial"/>
                <w:b w:val="0"/>
                <w:sz w:val="18"/>
              </w:rPr>
              <w:t>N/A</w:t>
            </w:r>
          </w:p>
        </w:tc>
        <w:tc>
          <w:tcPr>
            <w:tcW w:type="dxa" w:w="2880"/>
            <w:shd w:fill="F2F2F2" w:val="clear"/>
          </w:tcPr>
          <w:p>
            <w:pPr>
              <w:jc w:val="left"/>
            </w:pPr>
            <w:r/>
            <w:r>
              <w:rPr>
                <w:rFonts w:ascii="Arial" w:hAnsi="Arial"/>
                <w:b w:val="0"/>
                <w:sz w:val="18"/>
              </w:rPr>
              <w:t>N01000002407</w:t>
            </w:r>
          </w:p>
        </w:tc>
      </w:tr>
      <w:tr>
        <w:tc>
          <w:tcPr>
            <w:tcW w:type="dxa" w:w="2160"/>
          </w:tcPr>
          <w:p>
            <w:pPr>
              <w:jc w:val="left"/>
            </w:pPr>
            <w:r/>
            <w:r>
              <w:rPr>
                <w:rFonts w:ascii="Arial" w:hAnsi="Arial"/>
                <w:b w:val="0"/>
                <w:sz w:val="18"/>
              </w:rPr>
              <w:t>Courtyards</w:t>
            </w:r>
          </w:p>
        </w:tc>
        <w:tc>
          <w:tcPr>
            <w:tcW w:type="dxa" w:w="2880"/>
          </w:tcPr>
          <w:p>
            <w:pPr>
              <w:jc w:val="left"/>
            </w:pPr>
            <w:r/>
            <w:r>
              <w:rPr>
                <w:rFonts w:ascii="Arial" w:hAnsi="Arial"/>
                <w:b w:val="0"/>
                <w:sz w:val="18"/>
              </w:rPr>
              <w:t>Sentry Management</w:t>
            </w:r>
          </w:p>
        </w:tc>
        <w:tc>
          <w:tcPr>
            <w:tcW w:type="dxa" w:w="2160"/>
          </w:tcPr>
          <w:p>
            <w:pPr>
              <w:jc w:val="left"/>
            </w:pPr>
            <w:r/>
            <w:r>
              <w:rPr>
                <w:rFonts w:ascii="Arial" w:hAnsi="Arial"/>
                <w:b w:val="0"/>
                <w:sz w:val="18"/>
              </w:rPr>
              <w:t>(407) 788-6700</w:t>
            </w:r>
          </w:p>
        </w:tc>
        <w:tc>
          <w:tcPr>
            <w:tcW w:type="dxa" w:w="2880"/>
          </w:tcPr>
          <w:p>
            <w:pPr>
              <w:jc w:val="left"/>
            </w:pPr>
            <w:r/>
            <w:r>
              <w:rPr>
                <w:rFonts w:ascii="Arial" w:hAnsi="Arial"/>
                <w:b w:val="0"/>
                <w:sz w:val="18"/>
              </w:rPr>
              <w:t>N99000003017</w:t>
            </w:r>
          </w:p>
        </w:tc>
      </w:tr>
    </w:tbl>
    <w:p>
      <w:r>
        <w:rPr>
          <w:rFonts w:ascii="Arial" w:hAnsi="Arial"/>
          <w:b w:val="0"/>
          <w:i w:val="0"/>
          <w:sz w:val="20"/>
        </w:rPr>
      </w:r>
    </w:p>
    <w:p>
      <w:r>
        <w:rPr>
          <w:rFonts w:ascii="Arial" w:hAnsi="Arial"/>
          <w:b/>
          <w:i w:val="0"/>
          <w:sz w:val="20"/>
        </w:rPr>
        <w:t>Multifamily Feasibility Under CC&amp;Rs</w:t>
      </w:r>
    </w:p>
    <w:p>
      <w:r>
        <w:rPr>
          <w:rFonts w:ascii="Arial" w:hAnsi="Arial"/>
          <w:b w:val="0"/>
          <w:i w:val="0"/>
          <w:sz w:val="20"/>
        </w:rPr>
        <w:t>Based on extensive research, multifamily construction (3-4 story apartment buildings) is ALMOST CERTAINLY PROHIBITED by the Sandy Pines Preserve CC&amp;Rs. Evidence includes:</w:t>
      </w:r>
    </w:p>
    <w:p>
      <w:pPr>
        <w:pStyle w:val="ListBullet"/>
      </w:pPr>
      <w:r>
        <w:rPr>
          <w:rFonts w:ascii="Arial" w:hAnsi="Arial"/>
          <w:sz w:val="20"/>
        </w:rPr>
        <w:t>All existing structures across all phases are exclusively 1-2 story single-family and townhome</w:t>
      </w:r>
    </w:p>
    <w:p>
      <w:pPr>
        <w:pStyle w:val="ListBullet"/>
      </w:pPr>
      <w:r>
        <w:rPr>
          <w:rFonts w:ascii="Arial" w:hAnsi="Arial"/>
          <w:sz w:val="20"/>
        </w:rPr>
        <w:t>HOA incorporated under FL Chapter 720 (Homeowners Association Act)</w:t>
      </w:r>
    </w:p>
    <w:p>
      <w:pPr>
        <w:pStyle w:val="ListBullet"/>
      </w:pPr>
      <w:r>
        <w:rPr>
          <w:rFonts w:ascii="Arial" w:hAnsi="Arial"/>
          <w:sz w:val="20"/>
        </w:rPr>
        <w:t>No apartments, condos, or multifamily buildings exist anywhere in the community</w:t>
      </w:r>
    </w:p>
    <w:p>
      <w:pPr>
        <w:pStyle w:val="ListBullet"/>
      </w:pPr>
      <w:r>
        <w:rPr>
          <w:rFonts w:ascii="Arial" w:hAnsi="Arial"/>
          <w:sz w:val="20"/>
        </w:rPr>
        <w:t>Typical late-1990s gated community CC&amp;Rs restrict to single-family/townhome use types</w:t>
      </w:r>
    </w:p>
    <w:p>
      <w:pPr>
        <w:pStyle w:val="ListBullet"/>
      </w:pPr>
      <w:r>
        <w:rPr>
          <w:rFonts w:ascii="Arial" w:hAnsi="Arial"/>
          <w:sz w:val="20"/>
        </w:rPr>
        <w:t>Architectural Review Committee (ARC) approval almost certainly required</w:t>
      </w:r>
    </w:p>
    <w:p>
      <w:r>
        <w:rPr>
          <w:rFonts w:ascii="Arial" w:hAnsi="Arial"/>
          <w:b w:val="0"/>
          <w:i w:val="0"/>
          <w:sz w:val="20"/>
        </w:rPr>
      </w:r>
    </w:p>
    <w:p>
      <w:r>
        <w:rPr>
          <w:rFonts w:ascii="Arial" w:hAnsi="Arial"/>
          <w:b/>
          <w:i w:val="0"/>
          <w:sz w:val="20"/>
        </w:rPr>
        <w:t>CC&amp;R Status:</w:t>
      </w:r>
    </w:p>
    <w:p>
      <w:r>
        <w:rPr>
          <w:rFonts w:ascii="Arial" w:hAnsi="Arial"/>
          <w:b w:val="0"/>
          <w:i w:val="0"/>
          <w:sz w:val="20"/>
        </w:rPr>
        <w:t>The CC&amp;Rs are recorded in OR Book 3636, Page 2327 at the Brevard County Clerk. They have NOT yet been obtained or reviewed. This is the SINGLE MOST CRITICAL action item. If CC&amp;Rs prohibit multifamily and cannot be amended (typically requires 75% supermajority vote), the project is NOT VIABLE for the intended use.</w:t>
      </w:r>
    </w:p>
    <w:p>
      <w:r>
        <w:br w:type="page"/>
      </w:r>
    </w:p>
    <w:p>
      <w:pPr>
        <w:pStyle w:val="Heading1"/>
      </w:pPr>
      <w:r>
        <w:rPr>
          <w:rFonts w:ascii="Arial" w:hAnsi="Arial"/>
          <w:color w:val="1E3A5F"/>
        </w:rPr>
        <w:t>Section 8: Development Scenarios</w:t>
      </w:r>
    </w:p>
    <w:p>
      <w:r>
        <w:rPr>
          <w:rFonts w:ascii="Arial" w:hAnsi="Arial"/>
          <w:b/>
          <w:i w:val="0"/>
          <w:sz w:val="20"/>
        </w:rPr>
        <w:t>Scenario A: 11-Unit (Net Buildable Density)</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Parameter</w:t>
            </w:r>
          </w:p>
        </w:tc>
        <w:tc>
          <w:tcPr>
            <w:tcW w:type="dxa" w:w="6480"/>
            <w:shd w:fill="1E3A5F" w:val="clear"/>
          </w:tcPr>
          <w:p>
            <w:pPr>
              <w:jc w:val="center"/>
            </w:pPr>
            <w:r>
              <w:rPr>
                <w:rFonts w:ascii="Arial" w:hAnsi="Arial"/>
                <w:b/>
                <w:color w:val="FFFFFF"/>
                <w:sz w:val="18"/>
              </w:rPr>
            </w:r>
            <w:r>
              <w:rPr>
                <w:rFonts w:ascii="Arial" w:hAnsi="Arial"/>
                <w:b/>
                <w:color w:val="FFFFFF"/>
                <w:sz w:val="18"/>
              </w:rPr>
              <w:t>Value</w:t>
            </w:r>
          </w:p>
        </w:tc>
      </w:tr>
      <w:tr>
        <w:tc>
          <w:tcPr>
            <w:tcW w:type="dxa" w:w="3600"/>
          </w:tcPr>
          <w:p>
            <w:pPr>
              <w:jc w:val="left"/>
            </w:pPr>
            <w:r/>
            <w:r>
              <w:rPr>
                <w:rFonts w:ascii="Arial" w:hAnsi="Arial"/>
                <w:b w:val="0"/>
                <w:sz w:val="18"/>
              </w:rPr>
              <w:t>Units</w:t>
            </w:r>
          </w:p>
        </w:tc>
        <w:tc>
          <w:tcPr>
            <w:tcW w:type="dxa" w:w="6480"/>
          </w:tcPr>
          <w:p>
            <w:pPr>
              <w:jc w:val="left"/>
            </w:pPr>
            <w:r/>
            <w:r>
              <w:rPr>
                <w:rFonts w:ascii="Arial" w:hAnsi="Arial"/>
                <w:b w:val="0"/>
                <w:sz w:val="18"/>
              </w:rPr>
              <w:t>11</w:t>
            </w:r>
          </w:p>
        </w:tc>
      </w:tr>
      <w:tr>
        <w:tc>
          <w:tcPr>
            <w:tcW w:type="dxa" w:w="3600"/>
            <w:shd w:fill="F2F2F2" w:val="clear"/>
          </w:tcPr>
          <w:p>
            <w:pPr>
              <w:jc w:val="left"/>
            </w:pPr>
            <w:r/>
            <w:r>
              <w:rPr>
                <w:rFonts w:ascii="Arial" w:hAnsi="Arial"/>
                <w:b w:val="0"/>
                <w:sz w:val="18"/>
              </w:rPr>
              <w:t>Building Configuration</w:t>
            </w:r>
          </w:p>
        </w:tc>
        <w:tc>
          <w:tcPr>
            <w:tcW w:type="dxa" w:w="6480"/>
            <w:shd w:fill="F2F2F2" w:val="clear"/>
          </w:tcPr>
          <w:p>
            <w:pPr>
              <w:jc w:val="left"/>
            </w:pPr>
            <w:r/>
            <w:r>
              <w:rPr>
                <w:rFonts w:ascii="Arial" w:hAnsi="Arial"/>
                <w:b w:val="0"/>
                <w:sz w:val="18"/>
              </w:rPr>
              <w:t>Single 3-story building (~4,333 SF footprint)</w:t>
            </w:r>
          </w:p>
        </w:tc>
      </w:tr>
      <w:tr>
        <w:tc>
          <w:tcPr>
            <w:tcW w:type="dxa" w:w="3600"/>
          </w:tcPr>
          <w:p>
            <w:pPr>
              <w:jc w:val="left"/>
            </w:pPr>
            <w:r/>
            <w:r>
              <w:rPr>
                <w:rFonts w:ascii="Arial" w:hAnsi="Arial"/>
                <w:b w:val="0"/>
                <w:sz w:val="18"/>
              </w:rPr>
              <w:t>Building Zone</w:t>
            </w:r>
          </w:p>
        </w:tc>
        <w:tc>
          <w:tcPr>
            <w:tcW w:type="dxa" w:w="6480"/>
          </w:tcPr>
          <w:p>
            <w:pPr>
              <w:jc w:val="left"/>
            </w:pPr>
            <w:r/>
            <w:r>
              <w:rPr>
                <w:rFonts w:ascii="Arial" w:hAnsi="Arial"/>
                <w:b w:val="0"/>
                <w:sz w:val="18"/>
              </w:rPr>
              <w:t>Eastern portion of parcel (outside wellhead easement)</w:t>
            </w:r>
          </w:p>
        </w:tc>
      </w:tr>
      <w:tr>
        <w:tc>
          <w:tcPr>
            <w:tcW w:type="dxa" w:w="3600"/>
            <w:shd w:fill="F2F2F2" w:val="clear"/>
          </w:tcPr>
          <w:p>
            <w:pPr>
              <w:jc w:val="left"/>
            </w:pPr>
            <w:r/>
            <w:r>
              <w:rPr>
                <w:rFonts w:ascii="Arial" w:hAnsi="Arial"/>
                <w:b w:val="0"/>
                <w:sz w:val="18"/>
              </w:rPr>
              <w:t>Net Buildable Area</w:t>
            </w:r>
          </w:p>
        </w:tc>
        <w:tc>
          <w:tcPr>
            <w:tcW w:type="dxa" w:w="6480"/>
            <w:shd w:fill="F2F2F2" w:val="clear"/>
          </w:tcPr>
          <w:p>
            <w:pPr>
              <w:jc w:val="left"/>
            </w:pPr>
            <w:r/>
            <w:r>
              <w:rPr>
                <w:rFonts w:ascii="Arial" w:hAnsi="Arial"/>
                <w:b w:val="0"/>
                <w:sz w:val="18"/>
              </w:rPr>
              <w:t>11,325 SF (0.260 acres) after setbacks + easement</w:t>
            </w:r>
          </w:p>
        </w:tc>
      </w:tr>
      <w:tr>
        <w:tc>
          <w:tcPr>
            <w:tcW w:type="dxa" w:w="3600"/>
          </w:tcPr>
          <w:p>
            <w:pPr>
              <w:jc w:val="left"/>
            </w:pPr>
            <w:r/>
            <w:r>
              <w:rPr>
                <w:rFonts w:ascii="Arial" w:hAnsi="Arial"/>
                <w:b w:val="0"/>
                <w:sz w:val="18"/>
              </w:rPr>
              <w:t>Average Unit Size</w:t>
            </w:r>
          </w:p>
        </w:tc>
        <w:tc>
          <w:tcPr>
            <w:tcW w:type="dxa" w:w="6480"/>
          </w:tcPr>
          <w:p>
            <w:pPr>
              <w:jc w:val="left"/>
            </w:pPr>
            <w:r/>
            <w:r>
              <w:rPr>
                <w:rFonts w:ascii="Arial" w:hAnsi="Arial"/>
                <w:b w:val="0"/>
                <w:sz w:val="18"/>
              </w:rPr>
              <w:t>900 SF</w:t>
            </w:r>
          </w:p>
        </w:tc>
      </w:tr>
      <w:tr>
        <w:tc>
          <w:tcPr>
            <w:tcW w:type="dxa" w:w="3600"/>
            <w:shd w:fill="F2F2F2" w:val="clear"/>
          </w:tcPr>
          <w:p>
            <w:pPr>
              <w:jc w:val="left"/>
            </w:pPr>
            <w:r/>
            <w:r>
              <w:rPr>
                <w:rFonts w:ascii="Arial" w:hAnsi="Arial"/>
                <w:b w:val="0"/>
                <w:sz w:val="18"/>
              </w:rPr>
              <w:t>Parking</w:t>
            </w:r>
          </w:p>
        </w:tc>
        <w:tc>
          <w:tcPr>
            <w:tcW w:type="dxa" w:w="6480"/>
            <w:shd w:fill="F2F2F2" w:val="clear"/>
          </w:tcPr>
          <w:p>
            <w:pPr>
              <w:jc w:val="left"/>
            </w:pPr>
            <w:r/>
            <w:r>
              <w:rPr>
                <w:rFonts w:ascii="Arial" w:hAnsi="Arial"/>
                <w:b w:val="0"/>
                <w:sz w:val="18"/>
              </w:rPr>
              <w:t>22 surface spaces in wellhead easement zone (west portion)</w:t>
            </w:r>
          </w:p>
        </w:tc>
      </w:tr>
      <w:tr>
        <w:tc>
          <w:tcPr>
            <w:tcW w:type="dxa" w:w="3600"/>
          </w:tcPr>
          <w:p>
            <w:pPr>
              <w:jc w:val="left"/>
            </w:pPr>
            <w:r/>
            <w:r>
              <w:rPr>
                <w:rFonts w:ascii="Arial" w:hAnsi="Arial"/>
                <w:b w:val="0"/>
                <w:sz w:val="18"/>
              </w:rPr>
              <w:t>Open Space</w:t>
            </w:r>
          </w:p>
        </w:tc>
        <w:tc>
          <w:tcPr>
            <w:tcW w:type="dxa" w:w="6480"/>
          </w:tcPr>
          <w:p>
            <w:pPr>
              <w:jc w:val="left"/>
            </w:pPr>
            <w:r/>
            <w:r>
              <w:rPr>
                <w:rFonts w:ascii="Arial" w:hAnsi="Arial"/>
                <w:b w:val="0"/>
                <w:sz w:val="18"/>
              </w:rPr>
              <w:t>Wellhead zone remainder (~12,700 SF) as passive recreation</w:t>
            </w:r>
          </w:p>
        </w:tc>
      </w:tr>
      <w:tr>
        <w:tc>
          <w:tcPr>
            <w:tcW w:type="dxa" w:w="3600"/>
            <w:shd w:fill="F2F2F2" w:val="clear"/>
          </w:tcPr>
          <w:p>
            <w:pPr>
              <w:jc w:val="left"/>
            </w:pPr>
            <w:r/>
            <w:r>
              <w:rPr>
                <w:rFonts w:ascii="Arial" w:hAnsi="Arial"/>
                <w:b w:val="0"/>
                <w:sz w:val="18"/>
              </w:rPr>
              <w:t>Estimated Cost</w:t>
            </w:r>
          </w:p>
        </w:tc>
        <w:tc>
          <w:tcPr>
            <w:tcW w:type="dxa" w:w="6480"/>
            <w:shd w:fill="F2F2F2" w:val="clear"/>
          </w:tcPr>
          <w:p>
            <w:pPr>
              <w:jc w:val="left"/>
            </w:pPr>
            <w:r/>
            <w:r>
              <w:rPr>
                <w:rFonts w:ascii="Arial" w:hAnsi="Arial"/>
                <w:b w:val="0"/>
                <w:sz w:val="18"/>
              </w:rPr>
              <w:t>$3,786,326 ($344,211/unit)</w:t>
            </w:r>
          </w:p>
        </w:tc>
      </w:tr>
    </w:tbl>
    <w:p>
      <w:r>
        <w:rPr>
          <w:rFonts w:ascii="Arial" w:hAnsi="Arial"/>
          <w:b w:val="0"/>
          <w:i w:val="0"/>
          <w:sz w:val="20"/>
        </w:rPr>
      </w:r>
    </w:p>
    <w:p>
      <w:r>
        <w:rPr>
          <w:rFonts w:ascii="Arial" w:hAnsi="Arial"/>
          <w:b/>
          <w:i w:val="0"/>
          <w:sz w:val="20"/>
        </w:rPr>
        <w:t>Scenario B: 22-Unit (Maximum Gross Density)</w:t>
      </w:r>
    </w:p>
    <w:tbl>
      <w:tblPr>
        <w:tblStyle w:val="TableGrid"/>
        <w:tblW w:type="auto" w:w="0"/>
        <w:jc w:val="center"/>
        <w:tblLook w:firstColumn="1" w:firstRow="1" w:lastColumn="0" w:lastRow="0" w:noHBand="0" w:noVBand="1" w:val="04A0"/>
      </w:tblPr>
      <w:tblGrid>
        <w:gridCol w:w="4703"/>
        <w:gridCol w:w="4703"/>
      </w:tblGrid>
      <w:tr>
        <w:tc>
          <w:tcPr>
            <w:tcW w:type="dxa" w:w="3600"/>
            <w:shd w:fill="1E3A5F" w:val="clear"/>
          </w:tcPr>
          <w:p>
            <w:pPr>
              <w:jc w:val="center"/>
            </w:pPr>
            <w:r>
              <w:rPr>
                <w:rFonts w:ascii="Arial" w:hAnsi="Arial"/>
                <w:b/>
                <w:color w:val="FFFFFF"/>
                <w:sz w:val="18"/>
              </w:rPr>
            </w:r>
            <w:r>
              <w:rPr>
                <w:rFonts w:ascii="Arial" w:hAnsi="Arial"/>
                <w:b/>
                <w:color w:val="FFFFFF"/>
                <w:sz w:val="18"/>
              </w:rPr>
              <w:t>Parameter</w:t>
            </w:r>
          </w:p>
        </w:tc>
        <w:tc>
          <w:tcPr>
            <w:tcW w:type="dxa" w:w="6480"/>
            <w:shd w:fill="1E3A5F" w:val="clear"/>
          </w:tcPr>
          <w:p>
            <w:pPr>
              <w:jc w:val="center"/>
            </w:pPr>
            <w:r>
              <w:rPr>
                <w:rFonts w:ascii="Arial" w:hAnsi="Arial"/>
                <w:b/>
                <w:color w:val="FFFFFF"/>
                <w:sz w:val="18"/>
              </w:rPr>
            </w:r>
            <w:r>
              <w:rPr>
                <w:rFonts w:ascii="Arial" w:hAnsi="Arial"/>
                <w:b/>
                <w:color w:val="FFFFFF"/>
                <w:sz w:val="18"/>
              </w:rPr>
              <w:t>Value</w:t>
            </w:r>
          </w:p>
        </w:tc>
      </w:tr>
      <w:tr>
        <w:tc>
          <w:tcPr>
            <w:tcW w:type="dxa" w:w="3600"/>
          </w:tcPr>
          <w:p>
            <w:pPr>
              <w:jc w:val="left"/>
            </w:pPr>
            <w:r/>
            <w:r>
              <w:rPr>
                <w:rFonts w:ascii="Arial" w:hAnsi="Arial"/>
                <w:b w:val="0"/>
                <w:sz w:val="18"/>
              </w:rPr>
              <w:t>Units</w:t>
            </w:r>
          </w:p>
        </w:tc>
        <w:tc>
          <w:tcPr>
            <w:tcW w:type="dxa" w:w="6480"/>
          </w:tcPr>
          <w:p>
            <w:pPr>
              <w:jc w:val="left"/>
            </w:pPr>
            <w:r/>
            <w:r>
              <w:rPr>
                <w:rFonts w:ascii="Arial" w:hAnsi="Arial"/>
                <w:b w:val="0"/>
                <w:sz w:val="18"/>
              </w:rPr>
              <w:t>22</w:t>
            </w:r>
          </w:p>
        </w:tc>
      </w:tr>
      <w:tr>
        <w:tc>
          <w:tcPr>
            <w:tcW w:type="dxa" w:w="3600"/>
            <w:shd w:fill="F2F2F2" w:val="clear"/>
          </w:tcPr>
          <w:p>
            <w:pPr>
              <w:jc w:val="left"/>
            </w:pPr>
            <w:r/>
            <w:r>
              <w:rPr>
                <w:rFonts w:ascii="Arial" w:hAnsi="Arial"/>
                <w:b w:val="0"/>
                <w:sz w:val="18"/>
              </w:rPr>
              <w:t>Building Configuration</w:t>
            </w:r>
          </w:p>
        </w:tc>
        <w:tc>
          <w:tcPr>
            <w:tcW w:type="dxa" w:w="6480"/>
            <w:shd w:fill="F2F2F2" w:val="clear"/>
          </w:tcPr>
          <w:p>
            <w:pPr>
              <w:jc w:val="left"/>
            </w:pPr>
            <w:r/>
            <w:r>
              <w:rPr>
                <w:rFonts w:ascii="Arial" w:hAnsi="Arial"/>
                <w:b w:val="0"/>
                <w:sz w:val="18"/>
              </w:rPr>
              <w:t>Two 4-story buildings (~3,063 SF footprint each)</w:t>
            </w:r>
          </w:p>
        </w:tc>
      </w:tr>
      <w:tr>
        <w:tc>
          <w:tcPr>
            <w:tcW w:type="dxa" w:w="3600"/>
          </w:tcPr>
          <w:p>
            <w:pPr>
              <w:jc w:val="left"/>
            </w:pPr>
            <w:r/>
            <w:r>
              <w:rPr>
                <w:rFonts w:ascii="Arial" w:hAnsi="Arial"/>
                <w:b w:val="0"/>
                <w:sz w:val="18"/>
              </w:rPr>
              <w:t>Building Zone</w:t>
            </w:r>
          </w:p>
        </w:tc>
        <w:tc>
          <w:tcPr>
            <w:tcW w:type="dxa" w:w="6480"/>
          </w:tcPr>
          <w:p>
            <w:pPr>
              <w:jc w:val="left"/>
            </w:pPr>
            <w:r/>
            <w:r>
              <w:rPr>
                <w:rFonts w:ascii="Arial" w:hAnsi="Arial"/>
                <w:b w:val="0"/>
                <w:sz w:val="18"/>
              </w:rPr>
              <w:t>Full parcel (requires wellhead easement resolution)</w:t>
            </w:r>
          </w:p>
        </w:tc>
      </w:tr>
      <w:tr>
        <w:tc>
          <w:tcPr>
            <w:tcW w:type="dxa" w:w="3600"/>
            <w:shd w:fill="F2F2F2" w:val="clear"/>
          </w:tcPr>
          <w:p>
            <w:pPr>
              <w:jc w:val="left"/>
            </w:pPr>
            <w:r/>
            <w:r>
              <w:rPr>
                <w:rFonts w:ascii="Arial" w:hAnsi="Arial"/>
                <w:b w:val="0"/>
                <w:sz w:val="18"/>
              </w:rPr>
              <w:t>Net Buildable Area</w:t>
            </w:r>
          </w:p>
        </w:tc>
        <w:tc>
          <w:tcPr>
            <w:tcW w:type="dxa" w:w="6480"/>
            <w:shd w:fill="F2F2F2" w:val="clear"/>
          </w:tcPr>
          <w:p>
            <w:pPr>
              <w:jc w:val="left"/>
            </w:pPr>
            <w:r/>
            <w:r>
              <w:rPr>
                <w:rFonts w:ascii="Arial" w:hAnsi="Arial"/>
                <w:b w:val="0"/>
                <w:sz w:val="18"/>
              </w:rPr>
              <w:t>9,861 SF per building zone after 40-ft setbacks</w:t>
            </w:r>
          </w:p>
        </w:tc>
      </w:tr>
      <w:tr>
        <w:tc>
          <w:tcPr>
            <w:tcW w:type="dxa" w:w="3600"/>
          </w:tcPr>
          <w:p>
            <w:pPr>
              <w:jc w:val="left"/>
            </w:pPr>
            <w:r/>
            <w:r>
              <w:rPr>
                <w:rFonts w:ascii="Arial" w:hAnsi="Arial"/>
                <w:b w:val="0"/>
                <w:sz w:val="18"/>
              </w:rPr>
              <w:t>Average Unit Size</w:t>
            </w:r>
          </w:p>
        </w:tc>
        <w:tc>
          <w:tcPr>
            <w:tcW w:type="dxa" w:w="6480"/>
          </w:tcPr>
          <w:p>
            <w:pPr>
              <w:jc w:val="left"/>
            </w:pPr>
            <w:r/>
            <w:r>
              <w:rPr>
                <w:rFonts w:ascii="Arial" w:hAnsi="Arial"/>
                <w:b w:val="0"/>
                <w:sz w:val="18"/>
              </w:rPr>
              <w:t>850 SF</w:t>
            </w:r>
          </w:p>
        </w:tc>
      </w:tr>
      <w:tr>
        <w:tc>
          <w:tcPr>
            <w:tcW w:type="dxa" w:w="3600"/>
            <w:shd w:fill="F2F2F2" w:val="clear"/>
          </w:tcPr>
          <w:p>
            <w:pPr>
              <w:jc w:val="left"/>
            </w:pPr>
            <w:r/>
            <w:r>
              <w:rPr>
                <w:rFonts w:ascii="Arial" w:hAnsi="Arial"/>
                <w:b w:val="0"/>
                <w:sz w:val="18"/>
              </w:rPr>
              <w:t>Parking</w:t>
            </w:r>
          </w:p>
        </w:tc>
        <w:tc>
          <w:tcPr>
            <w:tcW w:type="dxa" w:w="6480"/>
            <w:shd w:fill="F2F2F2" w:val="clear"/>
          </w:tcPr>
          <w:p>
            <w:pPr>
              <w:jc w:val="left"/>
            </w:pPr>
            <w:r/>
            <w:r>
              <w:rPr>
                <w:rFonts w:ascii="Arial" w:hAnsi="Arial"/>
                <w:b w:val="0"/>
                <w:sz w:val="18"/>
              </w:rPr>
              <w:t>44 surface spaces</w:t>
            </w:r>
          </w:p>
        </w:tc>
      </w:tr>
      <w:tr>
        <w:tc>
          <w:tcPr>
            <w:tcW w:type="dxa" w:w="3600"/>
          </w:tcPr>
          <w:p>
            <w:pPr>
              <w:jc w:val="left"/>
            </w:pPr>
            <w:r/>
            <w:r>
              <w:rPr>
                <w:rFonts w:ascii="Arial" w:hAnsi="Arial"/>
                <w:b w:val="0"/>
                <w:sz w:val="18"/>
              </w:rPr>
              <w:t>Open Space</w:t>
            </w:r>
          </w:p>
        </w:tc>
        <w:tc>
          <w:tcPr>
            <w:tcW w:type="dxa" w:w="6480"/>
          </w:tcPr>
          <w:p>
            <w:pPr>
              <w:jc w:val="left"/>
            </w:pPr>
            <w:r/>
            <w:r>
              <w:rPr>
                <w:rFonts w:ascii="Arial" w:hAnsi="Arial"/>
                <w:b w:val="0"/>
                <w:sz w:val="18"/>
              </w:rPr>
              <w:t>Dedicated preserve area + rooftop amenities</w:t>
            </w:r>
          </w:p>
        </w:tc>
      </w:tr>
      <w:tr>
        <w:tc>
          <w:tcPr>
            <w:tcW w:type="dxa" w:w="3600"/>
            <w:shd w:fill="F2F2F2" w:val="clear"/>
          </w:tcPr>
          <w:p>
            <w:pPr>
              <w:jc w:val="left"/>
            </w:pPr>
            <w:r/>
            <w:r>
              <w:rPr>
                <w:rFonts w:ascii="Arial" w:hAnsi="Arial"/>
                <w:b w:val="0"/>
                <w:sz w:val="18"/>
              </w:rPr>
              <w:t>Estimated Cost</w:t>
            </w:r>
          </w:p>
        </w:tc>
        <w:tc>
          <w:tcPr>
            <w:tcW w:type="dxa" w:w="6480"/>
            <w:shd w:fill="F2F2F2" w:val="clear"/>
          </w:tcPr>
          <w:p>
            <w:pPr>
              <w:jc w:val="left"/>
            </w:pPr>
            <w:r/>
            <w:r>
              <w:rPr>
                <w:rFonts w:ascii="Arial" w:hAnsi="Arial"/>
                <w:b w:val="0"/>
                <w:sz w:val="18"/>
              </w:rPr>
              <w:t>$7,258,503 ($329,932/unit)</w:t>
            </w:r>
          </w:p>
        </w:tc>
      </w:tr>
      <w:tr>
        <w:tc>
          <w:tcPr>
            <w:tcW w:type="dxa" w:w="3600"/>
          </w:tcPr>
          <w:p>
            <w:pPr>
              <w:jc w:val="left"/>
            </w:pPr>
            <w:r/>
            <w:r>
              <w:rPr>
                <w:rFonts w:ascii="Arial" w:hAnsi="Arial"/>
                <w:b w:val="0"/>
                <w:sz w:val="18"/>
              </w:rPr>
              <w:t>Timeline Constraint</w:t>
            </w:r>
          </w:p>
        </w:tc>
        <w:tc>
          <w:tcPr>
            <w:tcW w:type="dxa" w:w="6480"/>
          </w:tcPr>
          <w:p>
            <w:pPr>
              <w:jc w:val="left"/>
            </w:pPr>
            <w:r/>
            <w:r>
              <w:rPr>
                <w:rFonts w:ascii="Arial" w:hAnsi="Arial"/>
                <w:b w:val="0"/>
                <w:sz w:val="18"/>
              </w:rPr>
              <w:t>Requires wellhead easement vacation (~10 years)</w:t>
            </w:r>
          </w:p>
        </w:tc>
      </w:tr>
    </w:tbl>
    <w:p>
      <w:r>
        <w:rPr>
          <w:rFonts w:ascii="Arial" w:hAnsi="Arial"/>
          <w:b w:val="0"/>
          <w:i w:val="0"/>
          <w:sz w:val="20"/>
        </w:rPr>
      </w:r>
    </w:p>
    <w:p>
      <w:r>
        <w:rPr>
          <w:rFonts w:ascii="Arial" w:hAnsi="Arial"/>
          <w:b/>
          <w:i w:val="0"/>
          <w:sz w:val="20"/>
        </w:rPr>
        <w:t>Setback Scenarios by Building Height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28"/>
            <w:shd w:fill="1E3A5F" w:val="clear"/>
          </w:tcPr>
          <w:p>
            <w:pPr>
              <w:jc w:val="center"/>
            </w:pPr>
            <w:r>
              <w:rPr>
                <w:rFonts w:ascii="Arial" w:hAnsi="Arial"/>
                <w:b/>
                <w:color w:val="FFFFFF"/>
                <w:sz w:val="18"/>
              </w:rPr>
            </w:r>
            <w:r>
              <w:rPr>
                <w:rFonts w:ascii="Arial" w:hAnsi="Arial"/>
                <w:b/>
                <w:color w:val="FFFFFF"/>
                <w:sz w:val="18"/>
              </w:rPr>
              <w:t>Height</w:t>
            </w:r>
          </w:p>
        </w:tc>
        <w:tc>
          <w:tcPr>
            <w:tcW w:type="dxa" w:w="1152"/>
            <w:shd w:fill="1E3A5F" w:val="clear"/>
          </w:tcPr>
          <w:p>
            <w:pPr>
              <w:jc w:val="center"/>
            </w:pPr>
            <w:r>
              <w:rPr>
                <w:rFonts w:ascii="Arial" w:hAnsi="Arial"/>
                <w:b/>
                <w:color w:val="FFFFFF"/>
                <w:sz w:val="18"/>
              </w:rPr>
            </w:r>
            <w:r>
              <w:rPr>
                <w:rFonts w:ascii="Arial" w:hAnsi="Arial"/>
                <w:b/>
                <w:color w:val="FFFFFF"/>
                <w:sz w:val="18"/>
              </w:rPr>
              <w:t>Front</w:t>
            </w:r>
          </w:p>
        </w:tc>
        <w:tc>
          <w:tcPr>
            <w:tcW w:type="dxa" w:w="1152"/>
            <w:shd w:fill="1E3A5F" w:val="clear"/>
          </w:tcPr>
          <w:p>
            <w:pPr>
              <w:jc w:val="center"/>
            </w:pPr>
            <w:r>
              <w:rPr>
                <w:rFonts w:ascii="Arial" w:hAnsi="Arial"/>
                <w:b/>
                <w:color w:val="FFFFFF"/>
                <w:sz w:val="18"/>
              </w:rPr>
            </w:r>
            <w:r>
              <w:rPr>
                <w:rFonts w:ascii="Arial" w:hAnsi="Arial"/>
                <w:b/>
                <w:color w:val="FFFFFF"/>
                <w:sz w:val="18"/>
              </w:rPr>
              <w:t>Side</w:t>
            </w:r>
          </w:p>
        </w:tc>
        <w:tc>
          <w:tcPr>
            <w:tcW w:type="dxa" w:w="1152"/>
            <w:shd w:fill="1E3A5F" w:val="clear"/>
          </w:tcPr>
          <w:p>
            <w:pPr>
              <w:jc w:val="center"/>
            </w:pPr>
            <w:r>
              <w:rPr>
                <w:rFonts w:ascii="Arial" w:hAnsi="Arial"/>
                <w:b/>
                <w:color w:val="FFFFFF"/>
                <w:sz w:val="18"/>
              </w:rPr>
            </w:r>
            <w:r>
              <w:rPr>
                <w:rFonts w:ascii="Arial" w:hAnsi="Arial"/>
                <w:b/>
                <w:color w:val="FFFFFF"/>
                <w:sz w:val="18"/>
              </w:rPr>
              <w:t>Rear</w:t>
            </w:r>
          </w:p>
        </w:tc>
        <w:tc>
          <w:tcPr>
            <w:tcW w:type="dxa" w:w="1152"/>
            <w:shd w:fill="1E3A5F" w:val="clear"/>
          </w:tcPr>
          <w:p>
            <w:pPr>
              <w:jc w:val="center"/>
            </w:pPr>
            <w:r>
              <w:rPr>
                <w:rFonts w:ascii="Arial" w:hAnsi="Arial"/>
                <w:b/>
                <w:color w:val="FFFFFF"/>
                <w:sz w:val="18"/>
              </w:rPr>
            </w:r>
            <w:r>
              <w:rPr>
                <w:rFonts w:ascii="Arial" w:hAnsi="Arial"/>
                <w:b/>
                <w:color w:val="FFFFFF"/>
                <w:sz w:val="18"/>
              </w:rPr>
              <w:t>Side</w:t>
            </w:r>
          </w:p>
        </w:tc>
        <w:tc>
          <w:tcPr>
            <w:tcW w:type="dxa" w:w="1728"/>
            <w:shd w:fill="1E3A5F" w:val="clear"/>
          </w:tcPr>
          <w:p>
            <w:pPr>
              <w:jc w:val="center"/>
            </w:pPr>
            <w:r>
              <w:rPr>
                <w:rFonts w:ascii="Arial" w:hAnsi="Arial"/>
                <w:b/>
                <w:color w:val="FFFFFF"/>
                <w:sz w:val="18"/>
              </w:rPr>
            </w:r>
            <w:r>
              <w:rPr>
                <w:rFonts w:ascii="Arial" w:hAnsi="Arial"/>
                <w:b/>
                <w:color w:val="FFFFFF"/>
                <w:sz w:val="18"/>
              </w:rPr>
              <w:t>Net Buildable</w:t>
            </w:r>
          </w:p>
        </w:tc>
        <w:tc>
          <w:tcPr>
            <w:tcW w:type="dxa" w:w="1152"/>
            <w:shd w:fill="1E3A5F" w:val="clear"/>
          </w:tcPr>
          <w:p>
            <w:pPr>
              <w:jc w:val="center"/>
            </w:pPr>
            <w:r>
              <w:rPr>
                <w:rFonts w:ascii="Arial" w:hAnsi="Arial"/>
                <w:b/>
                <w:color w:val="FFFFFF"/>
                <w:sz w:val="18"/>
              </w:rPr>
            </w:r>
            <w:r>
              <w:rPr>
                <w:rFonts w:ascii="Arial" w:hAnsi="Arial"/>
                <w:b/>
                <w:color w:val="FFFFFF"/>
                <w:sz w:val="18"/>
              </w:rPr>
              <w:t>% Parcel</w:t>
            </w:r>
          </w:p>
        </w:tc>
      </w:tr>
      <w:tr>
        <w:tc>
          <w:tcPr>
            <w:tcW w:type="dxa" w:w="1728"/>
          </w:tcPr>
          <w:p>
            <w:pPr>
              <w:jc w:val="left"/>
            </w:pPr>
            <w:r/>
            <w:r>
              <w:rPr>
                <w:rFonts w:ascii="Arial" w:hAnsi="Arial"/>
                <w:b w:val="0"/>
                <w:sz w:val="18"/>
              </w:rPr>
              <w:t>2-story (25 ft)</w:t>
            </w:r>
          </w:p>
        </w:tc>
        <w:tc>
          <w:tcPr>
            <w:tcW w:type="dxa" w:w="1152"/>
          </w:tcPr>
          <w:p>
            <w:pPr>
              <w:jc w:val="left"/>
            </w:pPr>
            <w:r/>
            <w:r>
              <w:rPr>
                <w:rFonts w:ascii="Arial" w:hAnsi="Arial"/>
                <w:b w:val="0"/>
                <w:sz w:val="18"/>
              </w:rPr>
              <w:t>25 ft</w:t>
            </w:r>
          </w:p>
        </w:tc>
        <w:tc>
          <w:tcPr>
            <w:tcW w:type="dxa" w:w="1152"/>
          </w:tcPr>
          <w:p>
            <w:pPr>
              <w:jc w:val="left"/>
            </w:pPr>
            <w:r/>
            <w:r>
              <w:rPr>
                <w:rFonts w:ascii="Arial" w:hAnsi="Arial"/>
                <w:b w:val="0"/>
                <w:sz w:val="18"/>
              </w:rPr>
              <w:t>25 ft</w:t>
            </w:r>
          </w:p>
        </w:tc>
        <w:tc>
          <w:tcPr>
            <w:tcW w:type="dxa" w:w="1152"/>
          </w:tcPr>
          <w:p>
            <w:pPr>
              <w:jc w:val="left"/>
            </w:pPr>
            <w:r/>
            <w:r>
              <w:rPr>
                <w:rFonts w:ascii="Arial" w:hAnsi="Arial"/>
                <w:b w:val="0"/>
                <w:sz w:val="18"/>
              </w:rPr>
              <w:t>25 ft</w:t>
            </w:r>
          </w:p>
        </w:tc>
        <w:tc>
          <w:tcPr>
            <w:tcW w:type="dxa" w:w="1152"/>
          </w:tcPr>
          <w:p>
            <w:pPr>
              <w:jc w:val="left"/>
            </w:pPr>
            <w:r/>
            <w:r>
              <w:rPr>
                <w:rFonts w:ascii="Arial" w:hAnsi="Arial"/>
                <w:b w:val="0"/>
                <w:sz w:val="18"/>
              </w:rPr>
              <w:t>25 ft</w:t>
            </w:r>
          </w:p>
        </w:tc>
        <w:tc>
          <w:tcPr>
            <w:tcW w:type="dxa" w:w="1728"/>
          </w:tcPr>
          <w:p>
            <w:pPr>
              <w:jc w:val="left"/>
            </w:pPr>
            <w:r/>
            <w:r>
              <w:rPr>
                <w:rFonts w:ascii="Arial" w:hAnsi="Arial"/>
                <w:b w:val="0"/>
                <w:sz w:val="18"/>
              </w:rPr>
              <w:t>14,555 SF</w:t>
            </w:r>
          </w:p>
        </w:tc>
        <w:tc>
          <w:tcPr>
            <w:tcW w:type="dxa" w:w="1152"/>
          </w:tcPr>
          <w:p>
            <w:pPr>
              <w:jc w:val="left"/>
            </w:pPr>
            <w:r/>
            <w:r>
              <w:rPr>
                <w:rFonts w:ascii="Arial" w:hAnsi="Arial"/>
                <w:b w:val="0"/>
                <w:sz w:val="18"/>
              </w:rPr>
              <w:t>30.0%</w:t>
            </w:r>
          </w:p>
        </w:tc>
      </w:tr>
      <w:tr>
        <w:tc>
          <w:tcPr>
            <w:tcW w:type="dxa" w:w="1728"/>
            <w:shd w:fill="F2F2F2" w:val="clear"/>
          </w:tcPr>
          <w:p>
            <w:pPr>
              <w:jc w:val="left"/>
            </w:pPr>
            <w:r/>
            <w:r>
              <w:rPr>
                <w:rFonts w:ascii="Arial" w:hAnsi="Arial"/>
                <w:b w:val="0"/>
                <w:sz w:val="18"/>
              </w:rPr>
              <w:t>3-story (35 ft)</w:t>
            </w:r>
          </w:p>
        </w:tc>
        <w:tc>
          <w:tcPr>
            <w:tcW w:type="dxa" w:w="1152"/>
            <w:shd w:fill="F2F2F2" w:val="clear"/>
          </w:tcPr>
          <w:p>
            <w:pPr>
              <w:jc w:val="left"/>
            </w:pPr>
            <w:r/>
            <w:r>
              <w:rPr>
                <w:rFonts w:ascii="Arial" w:hAnsi="Arial"/>
                <w:b w:val="0"/>
                <w:sz w:val="18"/>
              </w:rPr>
              <w:t>35 ft</w:t>
            </w:r>
          </w:p>
        </w:tc>
        <w:tc>
          <w:tcPr>
            <w:tcW w:type="dxa" w:w="1152"/>
            <w:shd w:fill="F2F2F2" w:val="clear"/>
          </w:tcPr>
          <w:p>
            <w:pPr>
              <w:jc w:val="left"/>
            </w:pPr>
            <w:r/>
            <w:r>
              <w:rPr>
                <w:rFonts w:ascii="Arial" w:hAnsi="Arial"/>
                <w:b w:val="0"/>
                <w:sz w:val="18"/>
              </w:rPr>
              <w:t>35 ft</w:t>
            </w:r>
          </w:p>
        </w:tc>
        <w:tc>
          <w:tcPr>
            <w:tcW w:type="dxa" w:w="1152"/>
            <w:shd w:fill="F2F2F2" w:val="clear"/>
          </w:tcPr>
          <w:p>
            <w:pPr>
              <w:jc w:val="left"/>
            </w:pPr>
            <w:r/>
            <w:r>
              <w:rPr>
                <w:rFonts w:ascii="Arial" w:hAnsi="Arial"/>
                <w:b w:val="0"/>
                <w:sz w:val="18"/>
              </w:rPr>
              <w:t>35 ft</w:t>
            </w:r>
          </w:p>
        </w:tc>
        <w:tc>
          <w:tcPr>
            <w:tcW w:type="dxa" w:w="1152"/>
            <w:shd w:fill="F2F2F2" w:val="clear"/>
          </w:tcPr>
          <w:p>
            <w:pPr>
              <w:jc w:val="left"/>
            </w:pPr>
            <w:r/>
            <w:r>
              <w:rPr>
                <w:rFonts w:ascii="Arial" w:hAnsi="Arial"/>
                <w:b w:val="0"/>
                <w:sz w:val="18"/>
              </w:rPr>
              <w:t>35 ft</w:t>
            </w:r>
          </w:p>
        </w:tc>
        <w:tc>
          <w:tcPr>
            <w:tcW w:type="dxa" w:w="1728"/>
            <w:shd w:fill="F2F2F2" w:val="clear"/>
          </w:tcPr>
          <w:p>
            <w:pPr>
              <w:jc w:val="left"/>
            </w:pPr>
            <w:r/>
            <w:r>
              <w:rPr>
                <w:rFonts w:ascii="Arial" w:hAnsi="Arial"/>
                <w:b w:val="0"/>
                <w:sz w:val="18"/>
              </w:rPr>
              <w:t>11,325 SF</w:t>
            </w:r>
          </w:p>
        </w:tc>
        <w:tc>
          <w:tcPr>
            <w:tcW w:type="dxa" w:w="1152"/>
            <w:shd w:fill="F2F2F2" w:val="clear"/>
          </w:tcPr>
          <w:p>
            <w:pPr>
              <w:jc w:val="left"/>
            </w:pPr>
            <w:r/>
            <w:r>
              <w:rPr>
                <w:rFonts w:ascii="Arial" w:hAnsi="Arial"/>
                <w:b w:val="0"/>
                <w:sz w:val="18"/>
              </w:rPr>
              <w:t>23.3%</w:t>
            </w:r>
          </w:p>
        </w:tc>
      </w:tr>
      <w:tr>
        <w:tc>
          <w:tcPr>
            <w:tcW w:type="dxa" w:w="1728"/>
          </w:tcPr>
          <w:p>
            <w:pPr>
              <w:jc w:val="left"/>
            </w:pPr>
            <w:r/>
            <w:r>
              <w:rPr>
                <w:rFonts w:ascii="Arial" w:hAnsi="Arial"/>
                <w:b w:val="0"/>
                <w:sz w:val="18"/>
              </w:rPr>
              <w:t>4-story (40 ft)</w:t>
            </w:r>
          </w:p>
        </w:tc>
        <w:tc>
          <w:tcPr>
            <w:tcW w:type="dxa" w:w="1152"/>
          </w:tcPr>
          <w:p>
            <w:pPr>
              <w:jc w:val="left"/>
            </w:pPr>
            <w:r/>
            <w:r>
              <w:rPr>
                <w:rFonts w:ascii="Arial" w:hAnsi="Arial"/>
                <w:b w:val="0"/>
                <w:sz w:val="18"/>
              </w:rPr>
              <w:t>40 ft</w:t>
            </w:r>
          </w:p>
        </w:tc>
        <w:tc>
          <w:tcPr>
            <w:tcW w:type="dxa" w:w="1152"/>
          </w:tcPr>
          <w:p>
            <w:pPr>
              <w:jc w:val="left"/>
            </w:pPr>
            <w:r/>
            <w:r>
              <w:rPr>
                <w:rFonts w:ascii="Arial" w:hAnsi="Arial"/>
                <w:b w:val="0"/>
                <w:sz w:val="18"/>
              </w:rPr>
              <w:t>40 ft</w:t>
            </w:r>
          </w:p>
        </w:tc>
        <w:tc>
          <w:tcPr>
            <w:tcW w:type="dxa" w:w="1152"/>
          </w:tcPr>
          <w:p>
            <w:pPr>
              <w:jc w:val="left"/>
            </w:pPr>
            <w:r/>
            <w:r>
              <w:rPr>
                <w:rFonts w:ascii="Arial" w:hAnsi="Arial"/>
                <w:b w:val="0"/>
                <w:sz w:val="18"/>
              </w:rPr>
              <w:t>40 ft</w:t>
            </w:r>
          </w:p>
        </w:tc>
        <w:tc>
          <w:tcPr>
            <w:tcW w:type="dxa" w:w="1152"/>
          </w:tcPr>
          <w:p>
            <w:pPr>
              <w:jc w:val="left"/>
            </w:pPr>
            <w:r/>
            <w:r>
              <w:rPr>
                <w:rFonts w:ascii="Arial" w:hAnsi="Arial"/>
                <w:b w:val="0"/>
                <w:sz w:val="18"/>
              </w:rPr>
              <w:t>40 ft</w:t>
            </w:r>
          </w:p>
        </w:tc>
        <w:tc>
          <w:tcPr>
            <w:tcW w:type="dxa" w:w="1728"/>
          </w:tcPr>
          <w:p>
            <w:pPr>
              <w:jc w:val="left"/>
            </w:pPr>
            <w:r/>
            <w:r>
              <w:rPr>
                <w:rFonts w:ascii="Arial" w:hAnsi="Arial"/>
                <w:b w:val="0"/>
                <w:sz w:val="18"/>
              </w:rPr>
              <w:t>9,861 SF</w:t>
            </w:r>
          </w:p>
        </w:tc>
        <w:tc>
          <w:tcPr>
            <w:tcW w:type="dxa" w:w="1152"/>
          </w:tcPr>
          <w:p>
            <w:pPr>
              <w:jc w:val="left"/>
            </w:pPr>
            <w:r/>
            <w:r>
              <w:rPr>
                <w:rFonts w:ascii="Arial" w:hAnsi="Arial"/>
                <w:b w:val="0"/>
                <w:sz w:val="18"/>
              </w:rPr>
              <w:t>20.3%</w:t>
            </w:r>
          </w:p>
        </w:tc>
      </w:tr>
    </w:tbl>
    <w:p>
      <w:r>
        <w:rPr>
          <w:rFonts w:ascii="Arial" w:hAnsi="Arial"/>
          <w:b w:val="0"/>
          <w:i w:val="0"/>
          <w:sz w:val="20"/>
        </w:rPr>
      </w:r>
    </w:p>
    <w:p>
      <w:r>
        <w:rPr>
          <w:rFonts w:ascii="Arial" w:hAnsi="Arial"/>
          <w:b w:val="0"/>
          <w:i/>
          <w:sz w:val="20"/>
        </w:rPr>
        <w:t>Note: RM-15 rule requires setbacks equal to building height when height exceeds minimum setback. At 3+ stories, all setbacks equal building height, severely constraining the buildable envelope.</w:t>
      </w:r>
    </w:p>
    <w:p>
      <w:r>
        <w:br w:type="page"/>
      </w:r>
    </w:p>
    <w:p>
      <w:pPr>
        <w:pStyle w:val="Heading1"/>
      </w:pPr>
      <w:r>
        <w:rPr>
          <w:rFonts w:ascii="Arial" w:hAnsi="Arial"/>
          <w:color w:val="1E3A5F"/>
        </w:rPr>
        <w:t>Section 9: Cost Estimate</w:t>
      </w:r>
    </w:p>
    <w:p>
      <w:r>
        <w:rPr>
          <w:rFonts w:ascii="Arial" w:hAnsi="Arial"/>
          <w:b/>
          <w:i w:val="0"/>
          <w:sz w:val="20"/>
        </w:rPr>
        <w:t>11-Unit Development Cost Summary</w:t>
      </w:r>
    </w:p>
    <w:tbl>
      <w:tblPr>
        <w:tblStyle w:val="TableGrid"/>
        <w:tblW w:type="auto" w:w="0"/>
        <w:jc w:val="center"/>
        <w:tblLook w:firstColumn="1" w:firstRow="1" w:lastColumn="0" w:lastRow="0" w:noHBand="0" w:noVBand="1" w:val="04A0"/>
      </w:tblPr>
      <w:tblGrid>
        <w:gridCol w:w="3135"/>
        <w:gridCol w:w="3135"/>
        <w:gridCol w:w="3135"/>
      </w:tblGrid>
      <w:tr>
        <w:tc>
          <w:tcPr>
            <w:tcW w:type="dxa" w:w="5040"/>
            <w:shd w:fill="1E3A5F" w:val="clear"/>
          </w:tcPr>
          <w:p>
            <w:pPr>
              <w:jc w:val="center"/>
            </w:pPr>
            <w:r>
              <w:rPr>
                <w:rFonts w:ascii="Arial" w:hAnsi="Arial"/>
                <w:b/>
                <w:color w:val="FFFFFF"/>
                <w:sz w:val="18"/>
              </w:rPr>
            </w:r>
            <w:r>
              <w:rPr>
                <w:rFonts w:ascii="Arial" w:hAnsi="Arial"/>
                <w:b/>
                <w:color w:val="FFFFFF"/>
                <w:sz w:val="18"/>
              </w:rPr>
              <w:t>Category</w:t>
            </w:r>
          </w:p>
        </w:tc>
        <w:tc>
          <w:tcPr>
            <w:tcW w:type="dxa" w:w="2592"/>
            <w:shd w:fill="1E3A5F" w:val="clear"/>
          </w:tcPr>
          <w:p>
            <w:pPr>
              <w:jc w:val="center"/>
            </w:pPr>
            <w:r>
              <w:rPr>
                <w:rFonts w:ascii="Arial" w:hAnsi="Arial"/>
                <w:b/>
                <w:color w:val="FFFFFF"/>
                <w:sz w:val="18"/>
              </w:rPr>
            </w:r>
            <w:r>
              <w:rPr>
                <w:rFonts w:ascii="Arial" w:hAnsi="Arial"/>
                <w:b/>
                <w:color w:val="FFFFFF"/>
                <w:sz w:val="18"/>
              </w:rPr>
              <w:t>Amount</w:t>
            </w:r>
          </w:p>
        </w:tc>
        <w:tc>
          <w:tcPr>
            <w:tcW w:type="dxa" w:w="1728"/>
            <w:shd w:fill="1E3A5F" w:val="clear"/>
          </w:tcPr>
          <w:p>
            <w:pPr>
              <w:jc w:val="center"/>
            </w:pPr>
            <w:r>
              <w:rPr>
                <w:rFonts w:ascii="Arial" w:hAnsi="Arial"/>
                <w:b/>
                <w:color w:val="FFFFFF"/>
                <w:sz w:val="18"/>
              </w:rPr>
            </w:r>
            <w:r>
              <w:rPr>
                <w:rFonts w:ascii="Arial" w:hAnsi="Arial"/>
                <w:b/>
                <w:color w:val="FFFFFF"/>
                <w:sz w:val="18"/>
              </w:rPr>
              <w:t>% of Total</w:t>
            </w:r>
          </w:p>
        </w:tc>
      </w:tr>
      <w:tr>
        <w:tc>
          <w:tcPr>
            <w:tcW w:type="dxa" w:w="5040"/>
          </w:tcPr>
          <w:p>
            <w:pPr>
              <w:jc w:val="left"/>
            </w:pPr>
            <w:r/>
            <w:r>
              <w:rPr>
                <w:rFonts w:ascii="Arial" w:hAnsi="Arial"/>
                <w:b w:val="0"/>
                <w:sz w:val="18"/>
              </w:rPr>
              <w:t>Land Acquisition</w:t>
            </w:r>
          </w:p>
        </w:tc>
        <w:tc>
          <w:tcPr>
            <w:tcW w:type="dxa" w:w="2592"/>
          </w:tcPr>
          <w:p>
            <w:pPr>
              <w:jc w:val="left"/>
            </w:pPr>
            <w:r/>
            <w:r>
              <w:rPr>
                <w:rFonts w:ascii="Arial" w:hAnsi="Arial"/>
                <w:b w:val="0"/>
                <w:sz w:val="18"/>
              </w:rPr>
              <w:t>$55,000</w:t>
            </w:r>
          </w:p>
        </w:tc>
        <w:tc>
          <w:tcPr>
            <w:tcW w:type="dxa" w:w="1728"/>
          </w:tcPr>
          <w:p>
            <w:pPr>
              <w:jc w:val="left"/>
            </w:pPr>
            <w:r/>
            <w:r>
              <w:rPr>
                <w:rFonts w:ascii="Arial" w:hAnsi="Arial"/>
                <w:b w:val="0"/>
                <w:sz w:val="18"/>
              </w:rPr>
              <w:t>1.5%</w:t>
            </w:r>
          </w:p>
        </w:tc>
      </w:tr>
      <w:tr>
        <w:tc>
          <w:tcPr>
            <w:tcW w:type="dxa" w:w="5040"/>
            <w:shd w:fill="F2F2F2" w:val="clear"/>
          </w:tcPr>
          <w:p>
            <w:pPr>
              <w:jc w:val="left"/>
            </w:pPr>
            <w:r/>
            <w:r>
              <w:rPr>
                <w:rFonts w:ascii="Arial" w:hAnsi="Arial"/>
                <w:b w:val="0"/>
                <w:sz w:val="18"/>
              </w:rPr>
              <w:t>Hard Costs (construction + site)</w:t>
            </w:r>
          </w:p>
        </w:tc>
        <w:tc>
          <w:tcPr>
            <w:tcW w:type="dxa" w:w="2592"/>
            <w:shd w:fill="F2F2F2" w:val="clear"/>
          </w:tcPr>
          <w:p>
            <w:pPr>
              <w:jc w:val="left"/>
            </w:pPr>
            <w:r/>
            <w:r>
              <w:rPr>
                <w:rFonts w:ascii="Arial" w:hAnsi="Arial"/>
                <w:b w:val="0"/>
                <w:sz w:val="18"/>
              </w:rPr>
              <w:t>$3,011,125</w:t>
            </w:r>
          </w:p>
        </w:tc>
        <w:tc>
          <w:tcPr>
            <w:tcW w:type="dxa" w:w="1728"/>
            <w:shd w:fill="F2F2F2" w:val="clear"/>
          </w:tcPr>
          <w:p>
            <w:pPr>
              <w:jc w:val="left"/>
            </w:pPr>
            <w:r/>
            <w:r>
              <w:rPr>
                <w:rFonts w:ascii="Arial" w:hAnsi="Arial"/>
                <w:b w:val="0"/>
                <w:sz w:val="18"/>
              </w:rPr>
              <w:t>79.5%</w:t>
            </w:r>
          </w:p>
        </w:tc>
      </w:tr>
      <w:tr>
        <w:tc>
          <w:tcPr>
            <w:tcW w:type="dxa" w:w="5040"/>
          </w:tcPr>
          <w:p>
            <w:pPr>
              <w:jc w:val="left"/>
            </w:pPr>
            <w:r/>
            <w:r>
              <w:rPr>
                <w:rFonts w:ascii="Arial" w:hAnsi="Arial"/>
                <w:b w:val="0"/>
                <w:sz w:val="18"/>
              </w:rPr>
              <w:t>Soft Costs (design, engineering, permits)</w:t>
            </w:r>
          </w:p>
        </w:tc>
        <w:tc>
          <w:tcPr>
            <w:tcW w:type="dxa" w:w="2592"/>
          </w:tcPr>
          <w:p>
            <w:pPr>
              <w:jc w:val="left"/>
            </w:pPr>
            <w:r/>
            <w:r>
              <w:rPr>
                <w:rFonts w:ascii="Arial" w:hAnsi="Arial"/>
                <w:b w:val="0"/>
                <w:sz w:val="18"/>
              </w:rPr>
              <w:t>$357,684</w:t>
            </w:r>
          </w:p>
        </w:tc>
        <w:tc>
          <w:tcPr>
            <w:tcW w:type="dxa" w:w="1728"/>
          </w:tcPr>
          <w:p>
            <w:pPr>
              <w:jc w:val="left"/>
            </w:pPr>
            <w:r/>
            <w:r>
              <w:rPr>
                <w:rFonts w:ascii="Arial" w:hAnsi="Arial"/>
                <w:b w:val="0"/>
                <w:sz w:val="18"/>
              </w:rPr>
              <w:t>9.4%</w:t>
            </w:r>
          </w:p>
        </w:tc>
      </w:tr>
      <w:tr>
        <w:tc>
          <w:tcPr>
            <w:tcW w:type="dxa" w:w="5040"/>
            <w:shd w:fill="F2F2F2" w:val="clear"/>
          </w:tcPr>
          <w:p>
            <w:pPr>
              <w:jc w:val="left"/>
            </w:pPr>
            <w:r/>
            <w:r>
              <w:rPr>
                <w:rFonts w:ascii="Arial" w:hAnsi="Arial"/>
                <w:b w:val="0"/>
                <w:sz w:val="18"/>
              </w:rPr>
              <w:t>Environmental (mitigation, studies)</w:t>
            </w:r>
          </w:p>
        </w:tc>
        <w:tc>
          <w:tcPr>
            <w:tcW w:type="dxa" w:w="2592"/>
            <w:shd w:fill="F2F2F2" w:val="clear"/>
          </w:tcPr>
          <w:p>
            <w:pPr>
              <w:jc w:val="left"/>
            </w:pPr>
            <w:r/>
            <w:r>
              <w:rPr>
                <w:rFonts w:ascii="Arial" w:hAnsi="Arial"/>
                <w:b w:val="0"/>
                <w:sz w:val="18"/>
              </w:rPr>
              <w:t>$77,310</w:t>
            </w:r>
          </w:p>
        </w:tc>
        <w:tc>
          <w:tcPr>
            <w:tcW w:type="dxa" w:w="1728"/>
            <w:shd w:fill="F2F2F2" w:val="clear"/>
          </w:tcPr>
          <w:p>
            <w:pPr>
              <w:jc w:val="left"/>
            </w:pPr>
            <w:r/>
            <w:r>
              <w:rPr>
                <w:rFonts w:ascii="Arial" w:hAnsi="Arial"/>
                <w:b w:val="0"/>
                <w:sz w:val="18"/>
              </w:rPr>
              <w:t>2.0%</w:t>
            </w:r>
          </w:p>
        </w:tc>
      </w:tr>
      <w:tr>
        <w:tc>
          <w:tcPr>
            <w:tcW w:type="dxa" w:w="5040"/>
          </w:tcPr>
          <w:p>
            <w:pPr>
              <w:jc w:val="left"/>
            </w:pPr>
            <w:r/>
            <w:r>
              <w:rPr>
                <w:rFonts w:ascii="Arial" w:hAnsi="Arial"/>
                <w:b w:val="0"/>
                <w:sz w:val="18"/>
              </w:rPr>
              <w:t>Impact Fees</w:t>
            </w:r>
          </w:p>
        </w:tc>
        <w:tc>
          <w:tcPr>
            <w:tcW w:type="dxa" w:w="2592"/>
          </w:tcPr>
          <w:p>
            <w:pPr>
              <w:jc w:val="left"/>
            </w:pPr>
            <w:r/>
            <w:r>
              <w:rPr>
                <w:rFonts w:ascii="Arial" w:hAnsi="Arial"/>
                <w:b w:val="0"/>
                <w:sz w:val="18"/>
              </w:rPr>
              <w:t>$130,207</w:t>
            </w:r>
          </w:p>
        </w:tc>
        <w:tc>
          <w:tcPr>
            <w:tcW w:type="dxa" w:w="1728"/>
          </w:tcPr>
          <w:p>
            <w:pPr>
              <w:jc w:val="left"/>
            </w:pPr>
            <w:r/>
            <w:r>
              <w:rPr>
                <w:rFonts w:ascii="Arial" w:hAnsi="Arial"/>
                <w:b w:val="0"/>
                <w:sz w:val="18"/>
              </w:rPr>
              <w:t>3.4%</w:t>
            </w:r>
          </w:p>
        </w:tc>
      </w:tr>
      <w:tr>
        <w:tc>
          <w:tcPr>
            <w:tcW w:type="dxa" w:w="5040"/>
            <w:shd w:fill="F2F2F2" w:val="clear"/>
          </w:tcPr>
          <w:p>
            <w:pPr>
              <w:jc w:val="left"/>
            </w:pPr>
            <w:r/>
            <w:r>
              <w:rPr>
                <w:rFonts w:ascii="Arial" w:hAnsi="Arial"/>
                <w:b w:val="0"/>
                <w:sz w:val="18"/>
              </w:rPr>
              <w:t>Financing</w:t>
            </w:r>
          </w:p>
        </w:tc>
        <w:tc>
          <w:tcPr>
            <w:tcW w:type="dxa" w:w="2592"/>
            <w:shd w:fill="F2F2F2" w:val="clear"/>
          </w:tcPr>
          <w:p>
            <w:pPr>
              <w:jc w:val="left"/>
            </w:pPr>
            <w:r/>
            <w:r>
              <w:rPr>
                <w:rFonts w:ascii="Arial" w:hAnsi="Arial"/>
                <w:b w:val="0"/>
                <w:sz w:val="18"/>
              </w:rPr>
              <w:t>$155,000</w:t>
            </w:r>
          </w:p>
        </w:tc>
        <w:tc>
          <w:tcPr>
            <w:tcW w:type="dxa" w:w="1728"/>
            <w:shd w:fill="F2F2F2" w:val="clear"/>
          </w:tcPr>
          <w:p>
            <w:pPr>
              <w:jc w:val="left"/>
            </w:pPr>
            <w:r/>
            <w:r>
              <w:rPr>
                <w:rFonts w:ascii="Arial" w:hAnsi="Arial"/>
                <w:b w:val="0"/>
                <w:sz w:val="18"/>
              </w:rPr>
              <w:t>4.1%</w:t>
            </w:r>
          </w:p>
        </w:tc>
      </w:tr>
      <w:tr>
        <w:tc>
          <w:tcPr>
            <w:tcW w:type="dxa" w:w="5040"/>
          </w:tcPr>
          <w:p>
            <w:pPr>
              <w:jc w:val="left"/>
            </w:pPr>
            <w:r/>
            <w:r>
              <w:rPr>
                <w:rFonts w:ascii="Arial" w:hAnsi="Arial"/>
                <w:b/>
                <w:sz w:val="18"/>
              </w:rPr>
              <w:t>TOTAL</w:t>
            </w:r>
          </w:p>
        </w:tc>
        <w:tc>
          <w:tcPr>
            <w:tcW w:type="dxa" w:w="2592"/>
          </w:tcPr>
          <w:p>
            <w:pPr>
              <w:jc w:val="left"/>
            </w:pPr>
            <w:r/>
            <w:r>
              <w:rPr>
                <w:rFonts w:ascii="Arial" w:hAnsi="Arial"/>
                <w:b/>
                <w:sz w:val="18"/>
              </w:rPr>
              <w:t>$3,786,326</w:t>
            </w:r>
          </w:p>
        </w:tc>
        <w:tc>
          <w:tcPr>
            <w:tcW w:type="dxa" w:w="1728"/>
          </w:tcPr>
          <w:p>
            <w:pPr>
              <w:jc w:val="left"/>
            </w:pPr>
            <w:r/>
            <w:r>
              <w:rPr>
                <w:rFonts w:ascii="Arial" w:hAnsi="Arial"/>
                <w:b/>
                <w:sz w:val="18"/>
              </w:rPr>
              <w:t>100%</w:t>
            </w:r>
          </w:p>
        </w:tc>
      </w:tr>
      <w:tr>
        <w:tc>
          <w:tcPr>
            <w:tcW w:type="dxa" w:w="5040"/>
            <w:shd w:fill="F2F2F2" w:val="clear"/>
          </w:tcPr>
          <w:p>
            <w:pPr>
              <w:jc w:val="left"/>
            </w:pPr>
            <w:r/>
            <w:r>
              <w:rPr>
                <w:rFonts w:ascii="Arial" w:hAnsi="Arial"/>
                <w:b/>
                <w:sz w:val="18"/>
              </w:rPr>
              <w:t>Per Unit</w:t>
            </w:r>
          </w:p>
        </w:tc>
        <w:tc>
          <w:tcPr>
            <w:tcW w:type="dxa" w:w="2592"/>
            <w:shd w:fill="F2F2F2" w:val="clear"/>
          </w:tcPr>
          <w:p>
            <w:pPr>
              <w:jc w:val="left"/>
            </w:pPr>
            <w:r/>
            <w:r>
              <w:rPr>
                <w:rFonts w:ascii="Arial" w:hAnsi="Arial"/>
                <w:b/>
                <w:sz w:val="18"/>
              </w:rPr>
              <w:t>$344,211</w:t>
            </w:r>
          </w:p>
        </w:tc>
        <w:tc>
          <w:tcPr>
            <w:tcW w:type="dxa" w:w="1728"/>
            <w:shd w:fill="F2F2F2" w:val="clear"/>
          </w:tcPr>
          <w:p>
            <w:pPr>
              <w:jc w:val="left"/>
            </w:pPr>
            <w:r/>
            <w:r>
              <w:rPr>
                <w:rFonts w:ascii="Arial" w:hAnsi="Arial"/>
                <w:b w:val="0"/>
                <w:sz w:val="18"/>
              </w:rPr>
            </w:r>
          </w:p>
        </w:tc>
      </w:tr>
    </w:tbl>
    <w:p>
      <w:r>
        <w:rPr>
          <w:rFonts w:ascii="Arial" w:hAnsi="Arial"/>
          <w:b w:val="0"/>
          <w:i w:val="0"/>
          <w:sz w:val="20"/>
        </w:rPr>
      </w:r>
    </w:p>
    <w:p>
      <w:r>
        <w:rPr>
          <w:rFonts w:ascii="Arial" w:hAnsi="Arial"/>
          <w:b/>
          <w:i w:val="0"/>
          <w:sz w:val="20"/>
        </w:rPr>
        <w:t>22-Unit Development Cost Summary</w:t>
      </w:r>
    </w:p>
    <w:tbl>
      <w:tblPr>
        <w:tblStyle w:val="TableGrid"/>
        <w:tblW w:type="auto" w:w="0"/>
        <w:jc w:val="center"/>
        <w:tblLook w:firstColumn="1" w:firstRow="1" w:lastColumn="0" w:lastRow="0" w:noHBand="0" w:noVBand="1" w:val="04A0"/>
      </w:tblPr>
      <w:tblGrid>
        <w:gridCol w:w="3135"/>
        <w:gridCol w:w="3135"/>
        <w:gridCol w:w="3135"/>
      </w:tblGrid>
      <w:tr>
        <w:tc>
          <w:tcPr>
            <w:tcW w:type="dxa" w:w="5040"/>
            <w:shd w:fill="1E3A5F" w:val="clear"/>
          </w:tcPr>
          <w:p>
            <w:pPr>
              <w:jc w:val="center"/>
            </w:pPr>
            <w:r>
              <w:rPr>
                <w:rFonts w:ascii="Arial" w:hAnsi="Arial"/>
                <w:b/>
                <w:color w:val="FFFFFF"/>
                <w:sz w:val="18"/>
              </w:rPr>
            </w:r>
            <w:r>
              <w:rPr>
                <w:rFonts w:ascii="Arial" w:hAnsi="Arial"/>
                <w:b/>
                <w:color w:val="FFFFFF"/>
                <w:sz w:val="18"/>
              </w:rPr>
              <w:t>Category</w:t>
            </w:r>
          </w:p>
        </w:tc>
        <w:tc>
          <w:tcPr>
            <w:tcW w:type="dxa" w:w="2592"/>
            <w:shd w:fill="1E3A5F" w:val="clear"/>
          </w:tcPr>
          <w:p>
            <w:pPr>
              <w:jc w:val="center"/>
            </w:pPr>
            <w:r>
              <w:rPr>
                <w:rFonts w:ascii="Arial" w:hAnsi="Arial"/>
                <w:b/>
                <w:color w:val="FFFFFF"/>
                <w:sz w:val="18"/>
              </w:rPr>
            </w:r>
            <w:r>
              <w:rPr>
                <w:rFonts w:ascii="Arial" w:hAnsi="Arial"/>
                <w:b/>
                <w:color w:val="FFFFFF"/>
                <w:sz w:val="18"/>
              </w:rPr>
              <w:t>Amount</w:t>
            </w:r>
          </w:p>
        </w:tc>
        <w:tc>
          <w:tcPr>
            <w:tcW w:type="dxa" w:w="1728"/>
            <w:shd w:fill="1E3A5F" w:val="clear"/>
          </w:tcPr>
          <w:p>
            <w:pPr>
              <w:jc w:val="center"/>
            </w:pPr>
            <w:r>
              <w:rPr>
                <w:rFonts w:ascii="Arial" w:hAnsi="Arial"/>
                <w:b/>
                <w:color w:val="FFFFFF"/>
                <w:sz w:val="18"/>
              </w:rPr>
            </w:r>
            <w:r>
              <w:rPr>
                <w:rFonts w:ascii="Arial" w:hAnsi="Arial"/>
                <w:b/>
                <w:color w:val="FFFFFF"/>
                <w:sz w:val="18"/>
              </w:rPr>
              <w:t>% of Total</w:t>
            </w:r>
          </w:p>
        </w:tc>
      </w:tr>
      <w:tr>
        <w:tc>
          <w:tcPr>
            <w:tcW w:type="dxa" w:w="5040"/>
          </w:tcPr>
          <w:p>
            <w:pPr>
              <w:jc w:val="left"/>
            </w:pPr>
            <w:r/>
            <w:r>
              <w:rPr>
                <w:rFonts w:ascii="Arial" w:hAnsi="Arial"/>
                <w:b w:val="0"/>
                <w:sz w:val="18"/>
              </w:rPr>
              <w:t>Land Acquisition</w:t>
            </w:r>
          </w:p>
        </w:tc>
        <w:tc>
          <w:tcPr>
            <w:tcW w:type="dxa" w:w="2592"/>
          </w:tcPr>
          <w:p>
            <w:pPr>
              <w:jc w:val="left"/>
            </w:pPr>
            <w:r/>
            <w:r>
              <w:rPr>
                <w:rFonts w:ascii="Arial" w:hAnsi="Arial"/>
                <w:b w:val="0"/>
                <w:sz w:val="18"/>
              </w:rPr>
              <w:t>$55,000</w:t>
            </w:r>
          </w:p>
        </w:tc>
        <w:tc>
          <w:tcPr>
            <w:tcW w:type="dxa" w:w="1728"/>
          </w:tcPr>
          <w:p>
            <w:pPr>
              <w:jc w:val="left"/>
            </w:pPr>
            <w:r/>
            <w:r>
              <w:rPr>
                <w:rFonts w:ascii="Arial" w:hAnsi="Arial"/>
                <w:b w:val="0"/>
                <w:sz w:val="18"/>
              </w:rPr>
              <w:t>0.8%</w:t>
            </w:r>
          </w:p>
        </w:tc>
      </w:tr>
      <w:tr>
        <w:tc>
          <w:tcPr>
            <w:tcW w:type="dxa" w:w="5040"/>
            <w:shd w:fill="F2F2F2" w:val="clear"/>
          </w:tcPr>
          <w:p>
            <w:pPr>
              <w:jc w:val="left"/>
            </w:pPr>
            <w:r/>
            <w:r>
              <w:rPr>
                <w:rFonts w:ascii="Arial" w:hAnsi="Arial"/>
                <w:b w:val="0"/>
                <w:sz w:val="18"/>
              </w:rPr>
              <w:t>Hard Costs (construction + site)</w:t>
            </w:r>
          </w:p>
        </w:tc>
        <w:tc>
          <w:tcPr>
            <w:tcW w:type="dxa" w:w="2592"/>
            <w:shd w:fill="F2F2F2" w:val="clear"/>
          </w:tcPr>
          <w:p>
            <w:pPr>
              <w:jc w:val="left"/>
            </w:pPr>
            <w:r/>
            <w:r>
              <w:rPr>
                <w:rFonts w:ascii="Arial" w:hAnsi="Arial"/>
                <w:b w:val="0"/>
                <w:sz w:val="18"/>
              </w:rPr>
              <w:t>$6,023,688</w:t>
            </w:r>
          </w:p>
        </w:tc>
        <w:tc>
          <w:tcPr>
            <w:tcW w:type="dxa" w:w="1728"/>
            <w:shd w:fill="F2F2F2" w:val="clear"/>
          </w:tcPr>
          <w:p>
            <w:pPr>
              <w:jc w:val="left"/>
            </w:pPr>
            <w:r/>
            <w:r>
              <w:rPr>
                <w:rFonts w:ascii="Arial" w:hAnsi="Arial"/>
                <w:b w:val="0"/>
                <w:sz w:val="18"/>
              </w:rPr>
              <w:t>83.0%</w:t>
            </w:r>
          </w:p>
        </w:tc>
      </w:tr>
      <w:tr>
        <w:tc>
          <w:tcPr>
            <w:tcW w:type="dxa" w:w="5040"/>
          </w:tcPr>
          <w:p>
            <w:pPr>
              <w:jc w:val="left"/>
            </w:pPr>
            <w:r/>
            <w:r>
              <w:rPr>
                <w:rFonts w:ascii="Arial" w:hAnsi="Arial"/>
                <w:b w:val="0"/>
                <w:sz w:val="18"/>
              </w:rPr>
              <w:t>Soft Costs</w:t>
            </w:r>
          </w:p>
        </w:tc>
        <w:tc>
          <w:tcPr>
            <w:tcW w:type="dxa" w:w="2592"/>
          </w:tcPr>
          <w:p>
            <w:pPr>
              <w:jc w:val="left"/>
            </w:pPr>
            <w:r/>
            <w:r>
              <w:rPr>
                <w:rFonts w:ascii="Arial" w:hAnsi="Arial"/>
                <w:b w:val="0"/>
                <w:sz w:val="18"/>
              </w:rPr>
              <w:t>$527,841</w:t>
            </w:r>
          </w:p>
        </w:tc>
        <w:tc>
          <w:tcPr>
            <w:tcW w:type="dxa" w:w="1728"/>
          </w:tcPr>
          <w:p>
            <w:pPr>
              <w:jc w:val="left"/>
            </w:pPr>
            <w:r/>
            <w:r>
              <w:rPr>
                <w:rFonts w:ascii="Arial" w:hAnsi="Arial"/>
                <w:b w:val="0"/>
                <w:sz w:val="18"/>
              </w:rPr>
              <w:t>7.3%</w:t>
            </w:r>
          </w:p>
        </w:tc>
      </w:tr>
      <w:tr>
        <w:tc>
          <w:tcPr>
            <w:tcW w:type="dxa" w:w="5040"/>
            <w:shd w:fill="F2F2F2" w:val="clear"/>
          </w:tcPr>
          <w:p>
            <w:pPr>
              <w:jc w:val="left"/>
            </w:pPr>
            <w:r/>
            <w:r>
              <w:rPr>
                <w:rFonts w:ascii="Arial" w:hAnsi="Arial"/>
                <w:b w:val="0"/>
                <w:sz w:val="18"/>
              </w:rPr>
              <w:t>Environmental</w:t>
            </w:r>
          </w:p>
        </w:tc>
        <w:tc>
          <w:tcPr>
            <w:tcW w:type="dxa" w:w="2592"/>
            <w:shd w:fill="F2F2F2" w:val="clear"/>
          </w:tcPr>
          <w:p>
            <w:pPr>
              <w:jc w:val="left"/>
            </w:pPr>
            <w:r/>
            <w:r>
              <w:rPr>
                <w:rFonts w:ascii="Arial" w:hAnsi="Arial"/>
                <w:b w:val="0"/>
                <w:sz w:val="18"/>
              </w:rPr>
              <w:t>$101,560</w:t>
            </w:r>
          </w:p>
        </w:tc>
        <w:tc>
          <w:tcPr>
            <w:tcW w:type="dxa" w:w="1728"/>
            <w:shd w:fill="F2F2F2" w:val="clear"/>
          </w:tcPr>
          <w:p>
            <w:pPr>
              <w:jc w:val="left"/>
            </w:pPr>
            <w:r/>
            <w:r>
              <w:rPr>
                <w:rFonts w:ascii="Arial" w:hAnsi="Arial"/>
                <w:b w:val="0"/>
                <w:sz w:val="18"/>
              </w:rPr>
              <w:t>1.4%</w:t>
            </w:r>
          </w:p>
        </w:tc>
      </w:tr>
      <w:tr>
        <w:tc>
          <w:tcPr>
            <w:tcW w:type="dxa" w:w="5040"/>
          </w:tcPr>
          <w:p>
            <w:pPr>
              <w:jc w:val="left"/>
            </w:pPr>
            <w:r/>
            <w:r>
              <w:rPr>
                <w:rFonts w:ascii="Arial" w:hAnsi="Arial"/>
                <w:b w:val="0"/>
                <w:sz w:val="18"/>
              </w:rPr>
              <w:t>Impact Fees</w:t>
            </w:r>
          </w:p>
        </w:tc>
        <w:tc>
          <w:tcPr>
            <w:tcW w:type="dxa" w:w="2592"/>
          </w:tcPr>
          <w:p>
            <w:pPr>
              <w:jc w:val="left"/>
            </w:pPr>
            <w:r/>
            <w:r>
              <w:rPr>
                <w:rFonts w:ascii="Arial" w:hAnsi="Arial"/>
                <w:b w:val="0"/>
                <w:sz w:val="18"/>
              </w:rPr>
              <w:t>$260,414</w:t>
            </w:r>
          </w:p>
        </w:tc>
        <w:tc>
          <w:tcPr>
            <w:tcW w:type="dxa" w:w="1728"/>
          </w:tcPr>
          <w:p>
            <w:pPr>
              <w:jc w:val="left"/>
            </w:pPr>
            <w:r/>
            <w:r>
              <w:rPr>
                <w:rFonts w:ascii="Arial" w:hAnsi="Arial"/>
                <w:b w:val="0"/>
                <w:sz w:val="18"/>
              </w:rPr>
              <w:t>3.6%</w:t>
            </w:r>
          </w:p>
        </w:tc>
      </w:tr>
      <w:tr>
        <w:tc>
          <w:tcPr>
            <w:tcW w:type="dxa" w:w="5040"/>
            <w:shd w:fill="F2F2F2" w:val="clear"/>
          </w:tcPr>
          <w:p>
            <w:pPr>
              <w:jc w:val="left"/>
            </w:pPr>
            <w:r/>
            <w:r>
              <w:rPr>
                <w:rFonts w:ascii="Arial" w:hAnsi="Arial"/>
                <w:b w:val="0"/>
                <w:sz w:val="18"/>
              </w:rPr>
              <w:t>Financing</w:t>
            </w:r>
          </w:p>
        </w:tc>
        <w:tc>
          <w:tcPr>
            <w:tcW w:type="dxa" w:w="2592"/>
            <w:shd w:fill="F2F2F2" w:val="clear"/>
          </w:tcPr>
          <w:p>
            <w:pPr>
              <w:jc w:val="left"/>
            </w:pPr>
            <w:r/>
            <w:r>
              <w:rPr>
                <w:rFonts w:ascii="Arial" w:hAnsi="Arial"/>
                <w:b w:val="0"/>
                <w:sz w:val="18"/>
              </w:rPr>
              <w:t>$290,000</w:t>
            </w:r>
          </w:p>
        </w:tc>
        <w:tc>
          <w:tcPr>
            <w:tcW w:type="dxa" w:w="1728"/>
            <w:shd w:fill="F2F2F2" w:val="clear"/>
          </w:tcPr>
          <w:p>
            <w:pPr>
              <w:jc w:val="left"/>
            </w:pPr>
            <w:r/>
            <w:r>
              <w:rPr>
                <w:rFonts w:ascii="Arial" w:hAnsi="Arial"/>
                <w:b w:val="0"/>
                <w:sz w:val="18"/>
              </w:rPr>
              <w:t>4.0%</w:t>
            </w:r>
          </w:p>
        </w:tc>
      </w:tr>
      <w:tr>
        <w:tc>
          <w:tcPr>
            <w:tcW w:type="dxa" w:w="5040"/>
          </w:tcPr>
          <w:p>
            <w:pPr>
              <w:jc w:val="left"/>
            </w:pPr>
            <w:r/>
            <w:r>
              <w:rPr>
                <w:rFonts w:ascii="Arial" w:hAnsi="Arial"/>
                <w:b/>
                <w:sz w:val="18"/>
              </w:rPr>
              <w:t>TOTAL</w:t>
            </w:r>
          </w:p>
        </w:tc>
        <w:tc>
          <w:tcPr>
            <w:tcW w:type="dxa" w:w="2592"/>
          </w:tcPr>
          <w:p>
            <w:pPr>
              <w:jc w:val="left"/>
            </w:pPr>
            <w:r/>
            <w:r>
              <w:rPr>
                <w:rFonts w:ascii="Arial" w:hAnsi="Arial"/>
                <w:b/>
                <w:sz w:val="18"/>
              </w:rPr>
              <w:t>$7,258,503</w:t>
            </w:r>
          </w:p>
        </w:tc>
        <w:tc>
          <w:tcPr>
            <w:tcW w:type="dxa" w:w="1728"/>
          </w:tcPr>
          <w:p>
            <w:pPr>
              <w:jc w:val="left"/>
            </w:pPr>
            <w:r/>
            <w:r>
              <w:rPr>
                <w:rFonts w:ascii="Arial" w:hAnsi="Arial"/>
                <w:b/>
                <w:sz w:val="18"/>
              </w:rPr>
              <w:t>100%</w:t>
            </w:r>
          </w:p>
        </w:tc>
      </w:tr>
      <w:tr>
        <w:tc>
          <w:tcPr>
            <w:tcW w:type="dxa" w:w="5040"/>
            <w:shd w:fill="F2F2F2" w:val="clear"/>
          </w:tcPr>
          <w:p>
            <w:pPr>
              <w:jc w:val="left"/>
            </w:pPr>
            <w:r/>
            <w:r>
              <w:rPr>
                <w:rFonts w:ascii="Arial" w:hAnsi="Arial"/>
                <w:b/>
                <w:sz w:val="18"/>
              </w:rPr>
              <w:t>Per Unit</w:t>
            </w:r>
          </w:p>
        </w:tc>
        <w:tc>
          <w:tcPr>
            <w:tcW w:type="dxa" w:w="2592"/>
            <w:shd w:fill="F2F2F2" w:val="clear"/>
          </w:tcPr>
          <w:p>
            <w:pPr>
              <w:jc w:val="left"/>
            </w:pPr>
            <w:r/>
            <w:r>
              <w:rPr>
                <w:rFonts w:ascii="Arial" w:hAnsi="Arial"/>
                <w:b/>
                <w:sz w:val="18"/>
              </w:rPr>
              <w:t>$329,932</w:t>
            </w:r>
          </w:p>
        </w:tc>
        <w:tc>
          <w:tcPr>
            <w:tcW w:type="dxa" w:w="1728"/>
            <w:shd w:fill="F2F2F2" w:val="clear"/>
          </w:tcPr>
          <w:p>
            <w:pPr>
              <w:jc w:val="left"/>
            </w:pPr>
            <w:r/>
            <w:r>
              <w:rPr>
                <w:rFonts w:ascii="Arial" w:hAnsi="Arial"/>
                <w:b w:val="0"/>
                <w:sz w:val="18"/>
              </w:rPr>
            </w:r>
          </w:p>
        </w:tc>
      </w:tr>
    </w:tbl>
    <w:p>
      <w:r>
        <w:rPr>
          <w:rFonts w:ascii="Arial" w:hAnsi="Arial"/>
          <w:b w:val="0"/>
          <w:i w:val="0"/>
          <w:sz w:val="20"/>
        </w:rPr>
      </w:r>
    </w:p>
    <w:p>
      <w:r>
        <w:rPr>
          <w:rFonts w:ascii="Arial" w:hAnsi="Arial"/>
          <w:b/>
          <w:i w:val="0"/>
          <w:sz w:val="20"/>
        </w:rPr>
        <w:t>Financial Feasibility (Rental)</w:t>
      </w:r>
    </w:p>
    <w:tbl>
      <w:tblPr>
        <w:tblStyle w:val="TableGrid"/>
        <w:tblW w:type="auto" w:w="0"/>
        <w:jc w:val="center"/>
        <w:tblLook w:firstColumn="1" w:firstRow="1" w:lastColumn="0" w:lastRow="0" w:noHBand="0" w:noVBand="1" w:val="04A0"/>
      </w:tblPr>
      <w:tblGrid>
        <w:gridCol w:w="4703"/>
        <w:gridCol w:w="4703"/>
      </w:tblGrid>
      <w:tr>
        <w:tc>
          <w:tcPr>
            <w:tcW w:type="dxa" w:w="5040"/>
            <w:shd w:fill="1E3A5F" w:val="clear"/>
          </w:tcPr>
          <w:p>
            <w:pPr>
              <w:jc w:val="center"/>
            </w:pPr>
            <w:r>
              <w:rPr>
                <w:rFonts w:ascii="Arial" w:hAnsi="Arial"/>
                <w:b/>
                <w:color w:val="FFFFFF"/>
                <w:sz w:val="18"/>
              </w:rPr>
            </w:r>
            <w:r>
              <w:rPr>
                <w:rFonts w:ascii="Arial" w:hAnsi="Arial"/>
                <w:b/>
                <w:color w:val="FFFFFF"/>
                <w:sz w:val="18"/>
              </w:rPr>
              <w:t>Metric</w:t>
            </w:r>
          </w:p>
        </w:tc>
        <w:tc>
          <w:tcPr>
            <w:tcW w:type="dxa" w:w="5040"/>
            <w:shd w:fill="1E3A5F" w:val="clear"/>
          </w:tcPr>
          <w:p>
            <w:pPr>
              <w:jc w:val="center"/>
            </w:pPr>
            <w:r>
              <w:rPr>
                <w:rFonts w:ascii="Arial" w:hAnsi="Arial"/>
                <w:b/>
                <w:color w:val="FFFFFF"/>
                <w:sz w:val="18"/>
              </w:rPr>
            </w:r>
            <w:r>
              <w:rPr>
                <w:rFonts w:ascii="Arial" w:hAnsi="Arial"/>
                <w:b/>
                <w:color w:val="FFFFFF"/>
                <w:sz w:val="18"/>
              </w:rPr>
              <w:t>Value</w:t>
            </w:r>
          </w:p>
        </w:tc>
      </w:tr>
      <w:tr>
        <w:tc>
          <w:tcPr>
            <w:tcW w:type="dxa" w:w="5040"/>
          </w:tcPr>
          <w:p>
            <w:pPr>
              <w:jc w:val="left"/>
            </w:pPr>
            <w:r/>
            <w:r>
              <w:rPr>
                <w:rFonts w:ascii="Arial" w:hAnsi="Arial"/>
                <w:b w:val="0"/>
                <w:sz w:val="18"/>
              </w:rPr>
              <w:t>Weighted Avg Rent (11 units)</w:t>
            </w:r>
          </w:p>
        </w:tc>
        <w:tc>
          <w:tcPr>
            <w:tcW w:type="dxa" w:w="5040"/>
          </w:tcPr>
          <w:p>
            <w:pPr>
              <w:jc w:val="left"/>
            </w:pPr>
            <w:r/>
            <w:r>
              <w:rPr>
                <w:rFonts w:ascii="Arial" w:hAnsi="Arial"/>
                <w:b w:val="0"/>
                <w:sz w:val="18"/>
              </w:rPr>
              <w:t>$1,575/month</w:t>
            </w:r>
          </w:p>
        </w:tc>
      </w:tr>
      <w:tr>
        <w:tc>
          <w:tcPr>
            <w:tcW w:type="dxa" w:w="5040"/>
            <w:shd w:fill="F2F2F2" w:val="clear"/>
          </w:tcPr>
          <w:p>
            <w:pPr>
              <w:jc w:val="left"/>
            </w:pPr>
            <w:r/>
            <w:r>
              <w:rPr>
                <w:rFonts w:ascii="Arial" w:hAnsi="Arial"/>
                <w:b w:val="0"/>
                <w:sz w:val="18"/>
              </w:rPr>
              <w:t>Gross Annual Rent</w:t>
            </w:r>
          </w:p>
        </w:tc>
        <w:tc>
          <w:tcPr>
            <w:tcW w:type="dxa" w:w="5040"/>
            <w:shd w:fill="F2F2F2" w:val="clear"/>
          </w:tcPr>
          <w:p>
            <w:pPr>
              <w:jc w:val="left"/>
            </w:pPr>
            <w:r/>
            <w:r>
              <w:rPr>
                <w:rFonts w:ascii="Arial" w:hAnsi="Arial"/>
                <w:b w:val="0"/>
                <w:sz w:val="18"/>
              </w:rPr>
              <w:t>$207,900</w:t>
            </w:r>
          </w:p>
        </w:tc>
      </w:tr>
      <w:tr>
        <w:tc>
          <w:tcPr>
            <w:tcW w:type="dxa" w:w="5040"/>
          </w:tcPr>
          <w:p>
            <w:pPr>
              <w:jc w:val="left"/>
            </w:pPr>
            <w:r/>
            <w:r>
              <w:rPr>
                <w:rFonts w:ascii="Arial" w:hAnsi="Arial"/>
                <w:b w:val="0"/>
                <w:sz w:val="18"/>
              </w:rPr>
              <w:t>Vacancy Rate</w:t>
            </w:r>
          </w:p>
        </w:tc>
        <w:tc>
          <w:tcPr>
            <w:tcW w:type="dxa" w:w="5040"/>
          </w:tcPr>
          <w:p>
            <w:pPr>
              <w:jc w:val="left"/>
            </w:pPr>
            <w:r/>
            <w:r>
              <w:rPr>
                <w:rFonts w:ascii="Arial" w:hAnsi="Arial"/>
                <w:b w:val="0"/>
                <w:sz w:val="18"/>
              </w:rPr>
              <w:t>7%</w:t>
            </w:r>
          </w:p>
        </w:tc>
      </w:tr>
      <w:tr>
        <w:tc>
          <w:tcPr>
            <w:tcW w:type="dxa" w:w="5040"/>
            <w:shd w:fill="F2F2F2" w:val="clear"/>
          </w:tcPr>
          <w:p>
            <w:pPr>
              <w:jc w:val="left"/>
            </w:pPr>
            <w:r/>
            <w:r>
              <w:rPr>
                <w:rFonts w:ascii="Arial" w:hAnsi="Arial"/>
                <w:b w:val="0"/>
                <w:sz w:val="18"/>
              </w:rPr>
              <w:t>Effective Gross Income</w:t>
            </w:r>
          </w:p>
        </w:tc>
        <w:tc>
          <w:tcPr>
            <w:tcW w:type="dxa" w:w="5040"/>
            <w:shd w:fill="F2F2F2" w:val="clear"/>
          </w:tcPr>
          <w:p>
            <w:pPr>
              <w:jc w:val="left"/>
            </w:pPr>
            <w:r/>
            <w:r>
              <w:rPr>
                <w:rFonts w:ascii="Arial" w:hAnsi="Arial"/>
                <w:b w:val="0"/>
                <w:sz w:val="18"/>
              </w:rPr>
              <w:t>$193,347</w:t>
            </w:r>
          </w:p>
        </w:tc>
      </w:tr>
      <w:tr>
        <w:tc>
          <w:tcPr>
            <w:tcW w:type="dxa" w:w="5040"/>
          </w:tcPr>
          <w:p>
            <w:pPr>
              <w:jc w:val="left"/>
            </w:pPr>
            <w:r/>
            <w:r>
              <w:rPr>
                <w:rFonts w:ascii="Arial" w:hAnsi="Arial"/>
                <w:b w:val="0"/>
                <w:sz w:val="18"/>
              </w:rPr>
              <w:t>Operating Expenses (40%)</w:t>
            </w:r>
          </w:p>
        </w:tc>
        <w:tc>
          <w:tcPr>
            <w:tcW w:type="dxa" w:w="5040"/>
          </w:tcPr>
          <w:p>
            <w:pPr>
              <w:jc w:val="left"/>
            </w:pPr>
            <w:r/>
            <w:r>
              <w:rPr>
                <w:rFonts w:ascii="Arial" w:hAnsi="Arial"/>
                <w:b w:val="0"/>
                <w:sz w:val="18"/>
              </w:rPr>
              <w:t>$77,339</w:t>
            </w:r>
          </w:p>
        </w:tc>
      </w:tr>
      <w:tr>
        <w:tc>
          <w:tcPr>
            <w:tcW w:type="dxa" w:w="5040"/>
            <w:shd w:fill="F2F2F2" w:val="clear"/>
          </w:tcPr>
          <w:p>
            <w:pPr>
              <w:jc w:val="left"/>
            </w:pPr>
            <w:r/>
            <w:r>
              <w:rPr>
                <w:rFonts w:ascii="Arial" w:hAnsi="Arial"/>
                <w:b w:val="0"/>
                <w:sz w:val="18"/>
              </w:rPr>
              <w:t>Net Operating Income (NOI)</w:t>
            </w:r>
          </w:p>
        </w:tc>
        <w:tc>
          <w:tcPr>
            <w:tcW w:type="dxa" w:w="5040"/>
            <w:shd w:fill="F2F2F2" w:val="clear"/>
          </w:tcPr>
          <w:p>
            <w:pPr>
              <w:jc w:val="left"/>
            </w:pPr>
            <w:r/>
            <w:r>
              <w:rPr>
                <w:rFonts w:ascii="Arial" w:hAnsi="Arial"/>
                <w:b w:val="0"/>
                <w:sz w:val="18"/>
              </w:rPr>
              <w:t>$116,008</w:t>
            </w:r>
          </w:p>
        </w:tc>
      </w:tr>
      <w:tr>
        <w:tc>
          <w:tcPr>
            <w:tcW w:type="dxa" w:w="5040"/>
          </w:tcPr>
          <w:p>
            <w:pPr>
              <w:jc w:val="left"/>
            </w:pPr>
            <w:r/>
            <w:r>
              <w:rPr>
                <w:rFonts w:ascii="Arial" w:hAnsi="Arial"/>
                <w:b w:val="0"/>
                <w:sz w:val="18"/>
              </w:rPr>
              <w:t>Yield on Cost</w:t>
            </w:r>
          </w:p>
        </w:tc>
        <w:tc>
          <w:tcPr>
            <w:tcW w:type="dxa" w:w="5040"/>
          </w:tcPr>
          <w:p>
            <w:pPr>
              <w:jc w:val="left"/>
            </w:pPr>
            <w:r/>
            <w:r>
              <w:rPr>
                <w:rFonts w:ascii="Arial" w:hAnsi="Arial"/>
                <w:b w:val="0"/>
                <w:sz w:val="18"/>
              </w:rPr>
              <w:t>3.06%</w:t>
            </w:r>
          </w:p>
        </w:tc>
      </w:tr>
      <w:tr>
        <w:tc>
          <w:tcPr>
            <w:tcW w:type="dxa" w:w="5040"/>
            <w:shd w:fill="F2F2F2" w:val="clear"/>
          </w:tcPr>
          <w:p>
            <w:pPr>
              <w:jc w:val="left"/>
            </w:pPr>
            <w:r/>
            <w:r>
              <w:rPr>
                <w:rFonts w:ascii="Arial" w:hAnsi="Arial"/>
                <w:b w:val="0"/>
                <w:sz w:val="18"/>
              </w:rPr>
              <w:t>Stabilized Value (6% cap)</w:t>
            </w:r>
          </w:p>
        </w:tc>
        <w:tc>
          <w:tcPr>
            <w:tcW w:type="dxa" w:w="5040"/>
            <w:shd w:fill="F2F2F2" w:val="clear"/>
          </w:tcPr>
          <w:p>
            <w:pPr>
              <w:jc w:val="left"/>
            </w:pPr>
            <w:r/>
            <w:r>
              <w:rPr>
                <w:rFonts w:ascii="Arial" w:hAnsi="Arial"/>
                <w:b w:val="0"/>
                <w:sz w:val="18"/>
              </w:rPr>
              <w:t>$1,933,467</w:t>
            </w:r>
          </w:p>
        </w:tc>
      </w:tr>
      <w:tr>
        <w:tc>
          <w:tcPr>
            <w:tcW w:type="dxa" w:w="5040"/>
          </w:tcPr>
          <w:p>
            <w:pPr>
              <w:jc w:val="left"/>
            </w:pPr>
            <w:r/>
            <w:r>
              <w:rPr>
                <w:rFonts w:ascii="Arial" w:hAnsi="Arial"/>
                <w:b/>
                <w:color w:val="CC0000"/>
                <w:sz w:val="18"/>
              </w:rPr>
              <w:t>Value Gap</w:t>
            </w:r>
          </w:p>
        </w:tc>
        <w:tc>
          <w:tcPr>
            <w:tcW w:type="dxa" w:w="5040"/>
          </w:tcPr>
          <w:p>
            <w:pPr>
              <w:jc w:val="left"/>
            </w:pPr>
            <w:r/>
            <w:r>
              <w:rPr>
                <w:rFonts w:ascii="Arial" w:hAnsi="Arial"/>
                <w:b/>
                <w:color w:val="CC0000"/>
                <w:sz w:val="18"/>
              </w:rPr>
              <w:t>-$1,852,859</w:t>
            </w:r>
          </w:p>
        </w:tc>
      </w:tr>
    </w:tbl>
    <w:p>
      <w:r>
        <w:rPr>
          <w:rFonts w:ascii="Arial" w:hAnsi="Arial"/>
          <w:b w:val="0"/>
          <w:i w:val="0"/>
          <w:sz w:val="20"/>
        </w:rPr>
      </w:r>
    </w:p>
    <w:p>
      <w:r>
        <w:rPr>
          <w:rFonts w:ascii="Arial" w:hAnsi="Arial"/>
          <w:b w:val="0"/>
          <w:i/>
          <w:sz w:val="20"/>
        </w:rPr>
        <w:t>The project does NOT pencil as a rental development. Total development cost ($3.79M) exceeds stabilized value ($1.93M) by approximately 2x. For-sale condos at $275K/unit also fail to cover development costs (net revenue $2.78M vs. cost $3.79M, a $1.0M shortfall).</w:t>
      </w:r>
    </w:p>
    <w:p>
      <w:r>
        <w:br w:type="page"/>
      </w:r>
    </w:p>
    <w:p>
      <w:pPr>
        <w:pStyle w:val="Heading1"/>
      </w:pPr>
      <w:r>
        <w:rPr>
          <w:rFonts w:ascii="Arial" w:hAnsi="Arial"/>
          <w:color w:val="1E3A5F"/>
        </w:rPr>
        <w:t>Section 10: Permit Roadmap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68"/>
            <w:shd w:fill="1E3A5F" w:val="clear"/>
          </w:tcPr>
          <w:p>
            <w:pPr>
              <w:jc w:val="center"/>
            </w:pPr>
            <w:r>
              <w:rPr>
                <w:rFonts w:ascii="Arial" w:hAnsi="Arial"/>
                <w:b/>
                <w:color w:val="FFFFFF"/>
                <w:sz w:val="18"/>
              </w:rPr>
            </w:r>
            <w:r>
              <w:rPr>
                <w:rFonts w:ascii="Arial" w:hAnsi="Arial"/>
                <w:b/>
                <w:color w:val="FFFFFF"/>
                <w:sz w:val="18"/>
              </w:rPr>
              <w:t>Permit</w:t>
            </w:r>
          </w:p>
        </w:tc>
        <w:tc>
          <w:tcPr>
            <w:tcW w:type="dxa" w:w="2592"/>
            <w:shd w:fill="1E3A5F" w:val="clear"/>
          </w:tcPr>
          <w:p>
            <w:pPr>
              <w:jc w:val="center"/>
            </w:pPr>
            <w:r>
              <w:rPr>
                <w:rFonts w:ascii="Arial" w:hAnsi="Arial"/>
                <w:b/>
                <w:color w:val="FFFFFF"/>
                <w:sz w:val="18"/>
              </w:rPr>
            </w:r>
            <w:r>
              <w:rPr>
                <w:rFonts w:ascii="Arial" w:hAnsi="Arial"/>
                <w:b/>
                <w:color w:val="FFFFFF"/>
                <w:sz w:val="18"/>
              </w:rPr>
              <w:t>Agency</w:t>
            </w:r>
          </w:p>
        </w:tc>
        <w:tc>
          <w:tcPr>
            <w:tcW w:type="dxa" w:w="1872"/>
            <w:shd w:fill="1E3A5F" w:val="clear"/>
          </w:tcPr>
          <w:p>
            <w:pPr>
              <w:jc w:val="center"/>
            </w:pPr>
            <w:r>
              <w:rPr>
                <w:rFonts w:ascii="Arial" w:hAnsi="Arial"/>
                <w:b/>
                <w:color w:val="FFFFFF"/>
                <w:sz w:val="18"/>
              </w:rPr>
            </w:r>
            <w:r>
              <w:rPr>
                <w:rFonts w:ascii="Arial" w:hAnsi="Arial"/>
                <w:b/>
                <w:color w:val="FFFFFF"/>
                <w:sz w:val="18"/>
              </w:rPr>
              <w:t>Timeline</w:t>
            </w:r>
          </w:p>
        </w:tc>
        <w:tc>
          <w:tcPr>
            <w:tcW w:type="dxa" w:w="2448"/>
            <w:shd w:fill="1E3A5F" w:val="clear"/>
          </w:tcPr>
          <w:p>
            <w:pPr>
              <w:jc w:val="center"/>
            </w:pPr>
            <w:r>
              <w:rPr>
                <w:rFonts w:ascii="Arial" w:hAnsi="Arial"/>
                <w:b/>
                <w:color w:val="FFFFFF"/>
                <w:sz w:val="18"/>
              </w:rPr>
            </w:r>
            <w:r>
              <w:rPr>
                <w:rFonts w:ascii="Arial" w:hAnsi="Arial"/>
                <w:b/>
                <w:color w:val="FFFFFF"/>
                <w:sz w:val="18"/>
              </w:rPr>
              <w:t>Notes</w:t>
            </w:r>
          </w:p>
        </w:tc>
      </w:tr>
      <w:tr>
        <w:tc>
          <w:tcPr>
            <w:tcW w:type="dxa" w:w="3168"/>
          </w:tcPr>
          <w:p>
            <w:pPr>
              <w:jc w:val="left"/>
            </w:pPr>
            <w:r/>
            <w:r>
              <w:rPr>
                <w:rFonts w:ascii="Arial" w:hAnsi="Arial"/>
                <w:b w:val="0"/>
                <w:sz w:val="18"/>
              </w:rPr>
              <w:t>PUD Preliminary Dev Plan</w:t>
            </w:r>
          </w:p>
        </w:tc>
        <w:tc>
          <w:tcPr>
            <w:tcW w:type="dxa" w:w="2592"/>
          </w:tcPr>
          <w:p>
            <w:pPr>
              <w:jc w:val="left"/>
            </w:pPr>
            <w:r/>
            <w:r>
              <w:rPr>
                <w:rFonts w:ascii="Arial" w:hAnsi="Arial"/>
                <w:b w:val="0"/>
                <w:sz w:val="18"/>
              </w:rPr>
              <w:t>Palm Bay P&amp;Z</w:t>
            </w:r>
          </w:p>
        </w:tc>
        <w:tc>
          <w:tcPr>
            <w:tcW w:type="dxa" w:w="1872"/>
          </w:tcPr>
          <w:p>
            <w:pPr>
              <w:jc w:val="left"/>
            </w:pPr>
            <w:r/>
            <w:r>
              <w:rPr>
                <w:rFonts w:ascii="Arial" w:hAnsi="Arial"/>
                <w:b w:val="0"/>
                <w:sz w:val="18"/>
              </w:rPr>
              <w:t>3-6 months</w:t>
            </w:r>
          </w:p>
        </w:tc>
        <w:tc>
          <w:tcPr>
            <w:tcW w:type="dxa" w:w="2448"/>
          </w:tcPr>
          <w:p>
            <w:pPr>
              <w:jc w:val="left"/>
            </w:pPr>
            <w:r/>
            <w:r>
              <w:rPr>
                <w:rFonts w:ascii="Arial" w:hAnsi="Arial"/>
                <w:b w:val="0"/>
                <w:sz w:val="18"/>
              </w:rPr>
              <w:t>Public hearings required</w:t>
            </w:r>
          </w:p>
        </w:tc>
      </w:tr>
      <w:tr>
        <w:tc>
          <w:tcPr>
            <w:tcW w:type="dxa" w:w="3168"/>
            <w:shd w:fill="F2F2F2" w:val="clear"/>
          </w:tcPr>
          <w:p>
            <w:pPr>
              <w:jc w:val="left"/>
            </w:pPr>
            <w:r/>
            <w:r>
              <w:rPr>
                <w:rFonts w:ascii="Arial" w:hAnsi="Arial"/>
                <w:b w:val="0"/>
                <w:sz w:val="18"/>
              </w:rPr>
              <w:t>PUD Final Dev Plan</w:t>
            </w:r>
          </w:p>
        </w:tc>
        <w:tc>
          <w:tcPr>
            <w:tcW w:type="dxa" w:w="2592"/>
            <w:shd w:fill="F2F2F2" w:val="clear"/>
          </w:tcPr>
          <w:p>
            <w:pPr>
              <w:jc w:val="left"/>
            </w:pPr>
            <w:r/>
            <w:r>
              <w:rPr>
                <w:rFonts w:ascii="Arial" w:hAnsi="Arial"/>
                <w:b w:val="0"/>
                <w:sz w:val="18"/>
              </w:rPr>
              <w:t>Palm Bay P&amp;Z</w:t>
            </w:r>
          </w:p>
        </w:tc>
        <w:tc>
          <w:tcPr>
            <w:tcW w:type="dxa" w:w="1872"/>
            <w:shd w:fill="F2F2F2" w:val="clear"/>
          </w:tcPr>
          <w:p>
            <w:pPr>
              <w:jc w:val="left"/>
            </w:pPr>
            <w:r/>
            <w:r>
              <w:rPr>
                <w:rFonts w:ascii="Arial" w:hAnsi="Arial"/>
                <w:b w:val="0"/>
                <w:sz w:val="18"/>
              </w:rPr>
              <w:t>2-4 months</w:t>
            </w:r>
          </w:p>
        </w:tc>
        <w:tc>
          <w:tcPr>
            <w:tcW w:type="dxa" w:w="2448"/>
            <w:shd w:fill="F2F2F2" w:val="clear"/>
          </w:tcPr>
          <w:p>
            <w:pPr>
              <w:jc w:val="left"/>
            </w:pPr>
            <w:r/>
            <w:r>
              <w:rPr>
                <w:rFonts w:ascii="Arial" w:hAnsi="Arial"/>
                <w:b w:val="0"/>
                <w:sz w:val="18"/>
              </w:rPr>
              <w:t>After PDP approved</w:t>
            </w:r>
          </w:p>
        </w:tc>
      </w:tr>
      <w:tr>
        <w:tc>
          <w:tcPr>
            <w:tcW w:type="dxa" w:w="3168"/>
          </w:tcPr>
          <w:p>
            <w:pPr>
              <w:jc w:val="left"/>
            </w:pPr>
            <w:r/>
            <w:r>
              <w:rPr>
                <w:rFonts w:ascii="Arial" w:hAnsi="Arial"/>
                <w:b w:val="0"/>
                <w:sz w:val="18"/>
              </w:rPr>
              <w:t>Site Plan Approval</w:t>
            </w:r>
          </w:p>
        </w:tc>
        <w:tc>
          <w:tcPr>
            <w:tcW w:type="dxa" w:w="2592"/>
          </w:tcPr>
          <w:p>
            <w:pPr>
              <w:jc w:val="left"/>
            </w:pPr>
            <w:r/>
            <w:r>
              <w:rPr>
                <w:rFonts w:ascii="Arial" w:hAnsi="Arial"/>
                <w:b w:val="0"/>
                <w:sz w:val="18"/>
              </w:rPr>
              <w:t>Palm Bay DRC</w:t>
            </w:r>
          </w:p>
        </w:tc>
        <w:tc>
          <w:tcPr>
            <w:tcW w:type="dxa" w:w="1872"/>
          </w:tcPr>
          <w:p>
            <w:pPr>
              <w:jc w:val="left"/>
            </w:pPr>
            <w:r/>
            <w:r>
              <w:rPr>
                <w:rFonts w:ascii="Arial" w:hAnsi="Arial"/>
                <w:b w:val="0"/>
                <w:sz w:val="18"/>
              </w:rPr>
              <w:t>4-8 weeks</w:t>
            </w:r>
          </w:p>
        </w:tc>
        <w:tc>
          <w:tcPr>
            <w:tcW w:type="dxa" w:w="2448"/>
          </w:tcPr>
          <w:p>
            <w:pPr>
              <w:jc w:val="left"/>
            </w:pPr>
            <w:r/>
            <w:r>
              <w:rPr>
                <w:rFonts w:ascii="Arial" w:hAnsi="Arial"/>
                <w:b w:val="0"/>
                <w:sz w:val="18"/>
              </w:rPr>
              <w:t>Concurrent with FDP</w:t>
            </w:r>
          </w:p>
        </w:tc>
      </w:tr>
      <w:tr>
        <w:tc>
          <w:tcPr>
            <w:tcW w:type="dxa" w:w="3168"/>
            <w:shd w:fill="F2F2F2" w:val="clear"/>
          </w:tcPr>
          <w:p>
            <w:pPr>
              <w:jc w:val="left"/>
            </w:pPr>
            <w:r/>
            <w:r>
              <w:rPr>
                <w:rFonts w:ascii="Arial" w:hAnsi="Arial"/>
                <w:b w:val="0"/>
                <w:sz w:val="18"/>
              </w:rPr>
              <w:t>Floodplain Dev Permit</w:t>
            </w:r>
          </w:p>
        </w:tc>
        <w:tc>
          <w:tcPr>
            <w:tcW w:type="dxa" w:w="2592"/>
            <w:shd w:fill="F2F2F2" w:val="clear"/>
          </w:tcPr>
          <w:p>
            <w:pPr>
              <w:jc w:val="left"/>
            </w:pPr>
            <w:r/>
            <w:r>
              <w:rPr>
                <w:rFonts w:ascii="Arial" w:hAnsi="Arial"/>
                <w:b w:val="0"/>
                <w:sz w:val="18"/>
              </w:rPr>
              <w:t>Palm Bay Building</w:t>
            </w:r>
          </w:p>
        </w:tc>
        <w:tc>
          <w:tcPr>
            <w:tcW w:type="dxa" w:w="1872"/>
            <w:shd w:fill="F2F2F2" w:val="clear"/>
          </w:tcPr>
          <w:p>
            <w:pPr>
              <w:jc w:val="left"/>
            </w:pPr>
            <w:r/>
            <w:r>
              <w:rPr>
                <w:rFonts w:ascii="Arial" w:hAnsi="Arial"/>
                <w:b w:val="0"/>
                <w:sz w:val="18"/>
              </w:rPr>
              <w:t>2-4 weeks</w:t>
            </w:r>
          </w:p>
        </w:tc>
        <w:tc>
          <w:tcPr>
            <w:tcW w:type="dxa" w:w="2448"/>
            <w:shd w:fill="F2F2F2" w:val="clear"/>
          </w:tcPr>
          <w:p>
            <w:pPr>
              <w:jc w:val="left"/>
            </w:pPr>
            <w:r/>
            <w:r>
              <w:rPr>
                <w:rFonts w:ascii="Arial" w:hAnsi="Arial"/>
                <w:b w:val="0"/>
                <w:sz w:val="18"/>
              </w:rPr>
              <w:t>After BFE established</w:t>
            </w:r>
          </w:p>
        </w:tc>
      </w:tr>
      <w:tr>
        <w:tc>
          <w:tcPr>
            <w:tcW w:type="dxa" w:w="3168"/>
          </w:tcPr>
          <w:p>
            <w:pPr>
              <w:jc w:val="left"/>
            </w:pPr>
            <w:r/>
            <w:r>
              <w:rPr>
                <w:rFonts w:ascii="Arial" w:hAnsi="Arial"/>
                <w:b w:val="0"/>
                <w:sz w:val="18"/>
              </w:rPr>
              <w:t>SJRWMD ERP</w:t>
            </w:r>
          </w:p>
        </w:tc>
        <w:tc>
          <w:tcPr>
            <w:tcW w:type="dxa" w:w="2592"/>
          </w:tcPr>
          <w:p>
            <w:pPr>
              <w:jc w:val="left"/>
            </w:pPr>
            <w:r/>
            <w:r>
              <w:rPr>
                <w:rFonts w:ascii="Arial" w:hAnsi="Arial"/>
                <w:b w:val="0"/>
                <w:sz w:val="18"/>
              </w:rPr>
              <w:t>SJRWMD</w:t>
            </w:r>
          </w:p>
        </w:tc>
        <w:tc>
          <w:tcPr>
            <w:tcW w:type="dxa" w:w="1872"/>
          </w:tcPr>
          <w:p>
            <w:pPr>
              <w:jc w:val="left"/>
            </w:pPr>
            <w:r/>
            <w:r>
              <w:rPr>
                <w:rFonts w:ascii="Arial" w:hAnsi="Arial"/>
                <w:b w:val="0"/>
                <w:sz w:val="18"/>
              </w:rPr>
              <w:t>3-6 months</w:t>
            </w:r>
          </w:p>
        </w:tc>
        <w:tc>
          <w:tcPr>
            <w:tcW w:type="dxa" w:w="2448"/>
          </w:tcPr>
          <w:p>
            <w:pPr>
              <w:jc w:val="left"/>
            </w:pPr>
            <w:r/>
            <w:r>
              <w:rPr>
                <w:rFonts w:ascii="Arial" w:hAnsi="Arial"/>
                <w:b w:val="0"/>
                <w:sz w:val="18"/>
              </w:rPr>
              <w:t>Longest lead item</w:t>
            </w:r>
          </w:p>
        </w:tc>
      </w:tr>
      <w:tr>
        <w:tc>
          <w:tcPr>
            <w:tcW w:type="dxa" w:w="3168"/>
            <w:shd w:fill="F2F2F2" w:val="clear"/>
          </w:tcPr>
          <w:p>
            <w:pPr>
              <w:jc w:val="left"/>
            </w:pPr>
            <w:r/>
            <w:r>
              <w:rPr>
                <w:rFonts w:ascii="Arial" w:hAnsi="Arial"/>
                <w:b w:val="0"/>
                <w:sz w:val="18"/>
              </w:rPr>
              <w:t>Section 404 (state)</w:t>
            </w:r>
          </w:p>
        </w:tc>
        <w:tc>
          <w:tcPr>
            <w:tcW w:type="dxa" w:w="2592"/>
            <w:shd w:fill="F2F2F2" w:val="clear"/>
          </w:tcPr>
          <w:p>
            <w:pPr>
              <w:jc w:val="left"/>
            </w:pPr>
            <w:r/>
            <w:r>
              <w:rPr>
                <w:rFonts w:ascii="Arial" w:hAnsi="Arial"/>
                <w:b w:val="0"/>
                <w:sz w:val="18"/>
              </w:rPr>
              <w:t>FDEP</w:t>
            </w:r>
          </w:p>
        </w:tc>
        <w:tc>
          <w:tcPr>
            <w:tcW w:type="dxa" w:w="1872"/>
            <w:shd w:fill="F2F2F2" w:val="clear"/>
          </w:tcPr>
          <w:p>
            <w:pPr>
              <w:jc w:val="left"/>
            </w:pPr>
            <w:r/>
            <w:r>
              <w:rPr>
                <w:rFonts w:ascii="Arial" w:hAnsi="Arial"/>
                <w:b w:val="0"/>
                <w:sz w:val="18"/>
              </w:rPr>
              <w:t>Concurrent</w:t>
            </w:r>
          </w:p>
        </w:tc>
        <w:tc>
          <w:tcPr>
            <w:tcW w:type="dxa" w:w="2448"/>
            <w:shd w:fill="F2F2F2" w:val="clear"/>
          </w:tcPr>
          <w:p>
            <w:pPr>
              <w:jc w:val="left"/>
            </w:pPr>
            <w:r/>
            <w:r>
              <w:rPr>
                <w:rFonts w:ascii="Arial" w:hAnsi="Arial"/>
                <w:b w:val="0"/>
                <w:sz w:val="18"/>
              </w:rPr>
              <w:t>Joint with ERP</w:t>
            </w:r>
          </w:p>
        </w:tc>
      </w:tr>
      <w:tr>
        <w:tc>
          <w:tcPr>
            <w:tcW w:type="dxa" w:w="3168"/>
          </w:tcPr>
          <w:p>
            <w:pPr>
              <w:jc w:val="left"/>
            </w:pPr>
            <w:r/>
            <w:r>
              <w:rPr>
                <w:rFonts w:ascii="Arial" w:hAnsi="Arial"/>
                <w:b w:val="0"/>
                <w:sz w:val="18"/>
              </w:rPr>
              <w:t>FEMA LOMA/LOMR-F</w:t>
            </w:r>
          </w:p>
        </w:tc>
        <w:tc>
          <w:tcPr>
            <w:tcW w:type="dxa" w:w="2592"/>
          </w:tcPr>
          <w:p>
            <w:pPr>
              <w:jc w:val="left"/>
            </w:pPr>
            <w:r/>
            <w:r>
              <w:rPr>
                <w:rFonts w:ascii="Arial" w:hAnsi="Arial"/>
                <w:b w:val="0"/>
                <w:sz w:val="18"/>
              </w:rPr>
              <w:t>FEMA</w:t>
            </w:r>
          </w:p>
        </w:tc>
        <w:tc>
          <w:tcPr>
            <w:tcW w:type="dxa" w:w="1872"/>
          </w:tcPr>
          <w:p>
            <w:pPr>
              <w:jc w:val="left"/>
            </w:pPr>
            <w:r/>
            <w:r>
              <w:rPr>
                <w:rFonts w:ascii="Arial" w:hAnsi="Arial"/>
                <w:b w:val="0"/>
                <w:sz w:val="18"/>
              </w:rPr>
              <w:t>60 days</w:t>
            </w:r>
          </w:p>
        </w:tc>
        <w:tc>
          <w:tcPr>
            <w:tcW w:type="dxa" w:w="2448"/>
          </w:tcPr>
          <w:p>
            <w:pPr>
              <w:jc w:val="left"/>
            </w:pPr>
            <w:r/>
            <w:r>
              <w:rPr>
                <w:rFonts w:ascii="Arial" w:hAnsi="Arial"/>
                <w:b w:val="0"/>
                <w:sz w:val="18"/>
              </w:rPr>
              <w:t>Optional — if fill strategy</w:t>
            </w:r>
          </w:p>
        </w:tc>
      </w:tr>
      <w:tr>
        <w:tc>
          <w:tcPr>
            <w:tcW w:type="dxa" w:w="3168"/>
            <w:shd w:fill="F2F2F2" w:val="clear"/>
          </w:tcPr>
          <w:p>
            <w:pPr>
              <w:jc w:val="left"/>
            </w:pPr>
            <w:r/>
            <w:r>
              <w:rPr>
                <w:rFonts w:ascii="Arial" w:hAnsi="Arial"/>
                <w:b w:val="0"/>
                <w:sz w:val="18"/>
              </w:rPr>
              <w:t>MTWCD Stormwater</w:t>
            </w:r>
          </w:p>
        </w:tc>
        <w:tc>
          <w:tcPr>
            <w:tcW w:type="dxa" w:w="2592"/>
            <w:shd w:fill="F2F2F2" w:val="clear"/>
          </w:tcPr>
          <w:p>
            <w:pPr>
              <w:jc w:val="left"/>
            </w:pPr>
            <w:r/>
            <w:r>
              <w:rPr>
                <w:rFonts w:ascii="Arial" w:hAnsi="Arial"/>
                <w:b w:val="0"/>
                <w:sz w:val="18"/>
              </w:rPr>
              <w:t>MTWCD</w:t>
            </w:r>
          </w:p>
        </w:tc>
        <w:tc>
          <w:tcPr>
            <w:tcW w:type="dxa" w:w="1872"/>
            <w:shd w:fill="F2F2F2" w:val="clear"/>
          </w:tcPr>
          <w:p>
            <w:pPr>
              <w:jc w:val="left"/>
            </w:pPr>
            <w:r/>
            <w:r>
              <w:rPr>
                <w:rFonts w:ascii="Arial" w:hAnsi="Arial"/>
                <w:b w:val="0"/>
                <w:sz w:val="18"/>
              </w:rPr>
              <w:t>4-8 weeks</w:t>
            </w:r>
          </w:p>
        </w:tc>
        <w:tc>
          <w:tcPr>
            <w:tcW w:type="dxa" w:w="2448"/>
            <w:shd w:fill="F2F2F2" w:val="clear"/>
          </w:tcPr>
          <w:p>
            <w:pPr>
              <w:jc w:val="left"/>
            </w:pPr>
            <w:r/>
            <w:r>
              <w:rPr>
                <w:rFonts w:ascii="Arial" w:hAnsi="Arial"/>
                <w:b w:val="0"/>
                <w:sz w:val="18"/>
              </w:rPr>
              <w:t>Concurrent with ERP</w:t>
            </w:r>
          </w:p>
        </w:tc>
      </w:tr>
      <w:tr>
        <w:tc>
          <w:tcPr>
            <w:tcW w:type="dxa" w:w="3168"/>
          </w:tcPr>
          <w:p>
            <w:pPr>
              <w:jc w:val="left"/>
            </w:pPr>
            <w:r/>
            <w:r>
              <w:rPr>
                <w:rFonts w:ascii="Arial" w:hAnsi="Arial"/>
                <w:b w:val="0"/>
                <w:sz w:val="18"/>
              </w:rPr>
              <w:t>Building Permit</w:t>
            </w:r>
          </w:p>
        </w:tc>
        <w:tc>
          <w:tcPr>
            <w:tcW w:type="dxa" w:w="2592"/>
          </w:tcPr>
          <w:p>
            <w:pPr>
              <w:jc w:val="left"/>
            </w:pPr>
            <w:r/>
            <w:r>
              <w:rPr>
                <w:rFonts w:ascii="Arial" w:hAnsi="Arial"/>
                <w:b w:val="0"/>
                <w:sz w:val="18"/>
              </w:rPr>
              <w:t>Palm Bay Building</w:t>
            </w:r>
          </w:p>
        </w:tc>
        <w:tc>
          <w:tcPr>
            <w:tcW w:type="dxa" w:w="1872"/>
          </w:tcPr>
          <w:p>
            <w:pPr>
              <w:jc w:val="left"/>
            </w:pPr>
            <w:r/>
            <w:r>
              <w:rPr>
                <w:rFonts w:ascii="Arial" w:hAnsi="Arial"/>
                <w:b w:val="0"/>
                <w:sz w:val="18"/>
              </w:rPr>
              <w:t>4-8 weeks</w:t>
            </w:r>
          </w:p>
        </w:tc>
        <w:tc>
          <w:tcPr>
            <w:tcW w:type="dxa" w:w="2448"/>
          </w:tcPr>
          <w:p>
            <w:pPr>
              <w:jc w:val="left"/>
            </w:pPr>
            <w:r/>
            <w:r>
              <w:rPr>
                <w:rFonts w:ascii="Arial" w:hAnsi="Arial"/>
                <w:b w:val="0"/>
                <w:sz w:val="18"/>
              </w:rPr>
              <w:t>After all approvals</w:t>
            </w:r>
          </w:p>
        </w:tc>
      </w:tr>
      <w:tr>
        <w:tc>
          <w:tcPr>
            <w:tcW w:type="dxa" w:w="3168"/>
            <w:shd w:fill="F2F2F2" w:val="clear"/>
          </w:tcPr>
          <w:p>
            <w:pPr>
              <w:jc w:val="left"/>
            </w:pPr>
            <w:r/>
            <w:r>
              <w:rPr>
                <w:rFonts w:ascii="Arial" w:hAnsi="Arial"/>
                <w:b w:val="0"/>
                <w:sz w:val="18"/>
              </w:rPr>
              <w:t>Utility Connections</w:t>
            </w:r>
          </w:p>
        </w:tc>
        <w:tc>
          <w:tcPr>
            <w:tcW w:type="dxa" w:w="2592"/>
            <w:shd w:fill="F2F2F2" w:val="clear"/>
          </w:tcPr>
          <w:p>
            <w:pPr>
              <w:jc w:val="left"/>
            </w:pPr>
            <w:r/>
            <w:r>
              <w:rPr>
                <w:rFonts w:ascii="Arial" w:hAnsi="Arial"/>
                <w:b w:val="0"/>
                <w:sz w:val="18"/>
              </w:rPr>
              <w:t>Palm Bay Utilities</w:t>
            </w:r>
          </w:p>
        </w:tc>
        <w:tc>
          <w:tcPr>
            <w:tcW w:type="dxa" w:w="1872"/>
            <w:shd w:fill="F2F2F2" w:val="clear"/>
          </w:tcPr>
          <w:p>
            <w:pPr>
              <w:jc w:val="left"/>
            </w:pPr>
            <w:r/>
            <w:r>
              <w:rPr>
                <w:rFonts w:ascii="Arial" w:hAnsi="Arial"/>
                <w:b w:val="0"/>
                <w:sz w:val="18"/>
              </w:rPr>
              <w:t>2-6 weeks</w:t>
            </w:r>
          </w:p>
        </w:tc>
        <w:tc>
          <w:tcPr>
            <w:tcW w:type="dxa" w:w="2448"/>
            <w:shd w:fill="F2F2F2" w:val="clear"/>
          </w:tcPr>
          <w:p>
            <w:pPr>
              <w:jc w:val="left"/>
            </w:pPr>
            <w:r/>
            <w:r>
              <w:rPr>
                <w:rFonts w:ascii="Arial" w:hAnsi="Arial"/>
                <w:b w:val="0"/>
                <w:sz w:val="18"/>
              </w:rPr>
              <w:t>Extension may be needed</w:t>
            </w:r>
          </w:p>
        </w:tc>
      </w:tr>
      <w:tr>
        <w:tc>
          <w:tcPr>
            <w:tcW w:type="dxa" w:w="3168"/>
          </w:tcPr>
          <w:p>
            <w:pPr>
              <w:jc w:val="left"/>
            </w:pPr>
            <w:r/>
            <w:r>
              <w:rPr>
                <w:rFonts w:ascii="Arial" w:hAnsi="Arial"/>
                <w:b w:val="0"/>
                <w:sz w:val="18"/>
              </w:rPr>
              <w:t>Driveway Permit</w:t>
            </w:r>
          </w:p>
        </w:tc>
        <w:tc>
          <w:tcPr>
            <w:tcW w:type="dxa" w:w="2592"/>
          </w:tcPr>
          <w:p>
            <w:pPr>
              <w:jc w:val="left"/>
            </w:pPr>
            <w:r/>
            <w:r>
              <w:rPr>
                <w:rFonts w:ascii="Arial" w:hAnsi="Arial"/>
                <w:b w:val="0"/>
                <w:sz w:val="18"/>
              </w:rPr>
              <w:t>Palm Bay PW</w:t>
            </w:r>
          </w:p>
        </w:tc>
        <w:tc>
          <w:tcPr>
            <w:tcW w:type="dxa" w:w="1872"/>
          </w:tcPr>
          <w:p>
            <w:pPr>
              <w:jc w:val="left"/>
            </w:pPr>
            <w:r/>
            <w:r>
              <w:rPr>
                <w:rFonts w:ascii="Arial" w:hAnsi="Arial"/>
                <w:b w:val="0"/>
                <w:sz w:val="18"/>
              </w:rPr>
              <w:t>2-4 weeks</w:t>
            </w:r>
          </w:p>
        </w:tc>
        <w:tc>
          <w:tcPr>
            <w:tcW w:type="dxa" w:w="2448"/>
          </w:tcPr>
          <w:p>
            <w:pPr>
              <w:jc w:val="left"/>
            </w:pPr>
            <w:r/>
            <w:r>
              <w:rPr>
                <w:rFonts w:ascii="Arial" w:hAnsi="Arial"/>
                <w:b w:val="0"/>
                <w:sz w:val="18"/>
              </w:rPr>
              <w:t>Chapter 179</w:t>
            </w:r>
          </w:p>
        </w:tc>
      </w:tr>
      <w:tr>
        <w:tc>
          <w:tcPr>
            <w:tcW w:type="dxa" w:w="3168"/>
            <w:shd w:fill="F2F2F2" w:val="clear"/>
          </w:tcPr>
          <w:p>
            <w:pPr>
              <w:jc w:val="left"/>
            </w:pPr>
            <w:r/>
            <w:r>
              <w:rPr>
                <w:rFonts w:ascii="Arial" w:hAnsi="Arial"/>
                <w:b w:val="0"/>
                <w:sz w:val="18"/>
              </w:rPr>
              <w:t>HOA ARC Approval</w:t>
            </w:r>
          </w:p>
        </w:tc>
        <w:tc>
          <w:tcPr>
            <w:tcW w:type="dxa" w:w="2592"/>
            <w:shd w:fill="F2F2F2" w:val="clear"/>
          </w:tcPr>
          <w:p>
            <w:pPr>
              <w:jc w:val="left"/>
            </w:pPr>
            <w:r/>
            <w:r>
              <w:rPr>
                <w:rFonts w:ascii="Arial" w:hAnsi="Arial"/>
                <w:b w:val="0"/>
                <w:sz w:val="18"/>
              </w:rPr>
              <w:t>Sandy Pines HOA</w:t>
            </w:r>
          </w:p>
        </w:tc>
        <w:tc>
          <w:tcPr>
            <w:tcW w:type="dxa" w:w="1872"/>
            <w:shd w:fill="F2F2F2" w:val="clear"/>
          </w:tcPr>
          <w:p>
            <w:pPr>
              <w:jc w:val="left"/>
            </w:pPr>
            <w:r/>
            <w:r>
              <w:rPr>
                <w:rFonts w:ascii="Arial" w:hAnsi="Arial"/>
                <w:b w:val="0"/>
                <w:sz w:val="18"/>
              </w:rPr>
              <w:t>1-3 months</w:t>
            </w:r>
          </w:p>
        </w:tc>
        <w:tc>
          <w:tcPr>
            <w:tcW w:type="dxa" w:w="2448"/>
            <w:shd w:fill="F2F2F2" w:val="clear"/>
          </w:tcPr>
          <w:p>
            <w:pPr>
              <w:jc w:val="left"/>
            </w:pPr>
            <w:r/>
            <w:r>
              <w:rPr>
                <w:rFonts w:ascii="Arial" w:hAnsi="Arial"/>
                <w:b w:val="0"/>
                <w:sz w:val="18"/>
              </w:rPr>
              <w:t>CRITICAL — potential fatal</w:t>
            </w:r>
          </w:p>
        </w:tc>
      </w:tr>
      <w:tr>
        <w:tc>
          <w:tcPr>
            <w:tcW w:type="dxa" w:w="3168"/>
          </w:tcPr>
          <w:p>
            <w:pPr>
              <w:jc w:val="left"/>
            </w:pPr>
            <w:r/>
            <w:r>
              <w:rPr>
                <w:rFonts w:ascii="Arial" w:hAnsi="Arial"/>
                <w:b w:val="0"/>
                <w:sz w:val="18"/>
              </w:rPr>
              <w:t>FWC Gopher Tortoise</w:t>
            </w:r>
          </w:p>
        </w:tc>
        <w:tc>
          <w:tcPr>
            <w:tcW w:type="dxa" w:w="2592"/>
          </w:tcPr>
          <w:p>
            <w:pPr>
              <w:jc w:val="left"/>
            </w:pPr>
            <w:r/>
            <w:r>
              <w:rPr>
                <w:rFonts w:ascii="Arial" w:hAnsi="Arial"/>
                <w:b w:val="0"/>
                <w:sz w:val="18"/>
              </w:rPr>
              <w:t>FWC</w:t>
            </w:r>
          </w:p>
        </w:tc>
        <w:tc>
          <w:tcPr>
            <w:tcW w:type="dxa" w:w="1872"/>
          </w:tcPr>
          <w:p>
            <w:pPr>
              <w:jc w:val="left"/>
            </w:pPr>
            <w:r/>
            <w:r>
              <w:rPr>
                <w:rFonts w:ascii="Arial" w:hAnsi="Arial"/>
                <w:b w:val="0"/>
                <w:sz w:val="18"/>
              </w:rPr>
              <w:t>4-8 weeks</w:t>
            </w:r>
          </w:p>
        </w:tc>
        <w:tc>
          <w:tcPr>
            <w:tcW w:type="dxa" w:w="2448"/>
          </w:tcPr>
          <w:p>
            <w:pPr>
              <w:jc w:val="left"/>
            </w:pPr>
            <w:r/>
            <w:r>
              <w:rPr>
                <w:rFonts w:ascii="Arial" w:hAnsi="Arial"/>
                <w:b w:val="0"/>
                <w:sz w:val="18"/>
              </w:rPr>
              <w:t>If burrows found</w:t>
            </w:r>
          </w:p>
        </w:tc>
      </w:tr>
    </w:tbl>
    <w:p>
      <w:r>
        <w:rPr>
          <w:rFonts w:ascii="Arial" w:hAnsi="Arial"/>
          <w:b w:val="0"/>
          <w:i w:val="0"/>
          <w:sz w:val="20"/>
        </w:rPr>
      </w:r>
    </w:p>
    <w:p>
      <w:r>
        <w:rPr>
          <w:rFonts w:ascii="Arial" w:hAnsi="Arial"/>
          <w:b/>
          <w:i w:val="0"/>
          <w:sz w:val="20"/>
        </w:rPr>
        <w:t>Estimated Total Timeline: 18-24 months (optimistic to realistic) from project initiation to Certificate of Occupancy. Worst case: 36 months with appeals/redesign.</w:t>
      </w:r>
    </w:p>
    <w:p>
      <w:r>
        <w:br w:type="page"/>
      </w:r>
    </w:p>
    <w:p>
      <w:pPr>
        <w:sectPr>
          <w:pgSz w:w="12240" w:h="15840"/>
          <w:pgMar w:top="1134" w:right="1417" w:bottom="1134" w:left="1417" w:header="720" w:footer="720" w:gutter="0"/>
          <w:cols w:space="720"/>
          <w:docGrid w:linePitch="360"/>
        </w:sectPr>
      </w:pPr>
    </w:p>
    <w:p>
      <w:pPr>
        <w:pStyle w:val="Heading1"/>
      </w:pPr>
      <w:r>
        <w:rPr>
          <w:rFonts w:ascii="Arial" w:hAnsi="Arial"/>
          <w:color w:val="1E3A5F"/>
        </w:rPr>
        <w:t>Section 11: Risk Matrix</w:t>
      </w:r>
    </w:p>
    <w:p>
      <w:r>
        <w:rPr>
          <w:rFonts w:ascii="Arial" w:hAnsi="Arial"/>
          <w:b/>
          <w:i w:val="0"/>
          <w:sz w:val="20"/>
        </w:rPr>
        <w:t>Constraint Severity Assessment — Color Coded by Risk Level</w:t>
      </w:r>
    </w:p>
    <w:tbl>
      <w:tblPr>
        <w:tblStyle w:val="TableGrid"/>
        <w:tblW w:type="auto" w:w="0"/>
        <w:jc w:val="center"/>
        <w:tblLook w:firstColumn="1" w:firstRow="1" w:lastColumn="0" w:lastRow="0" w:noHBand="0" w:noVBand="1" w:val="04A0"/>
      </w:tblPr>
      <w:tblGrid>
        <w:gridCol w:w="1939"/>
        <w:gridCol w:w="1939"/>
        <w:gridCol w:w="1939"/>
        <w:gridCol w:w="1939"/>
        <w:gridCol w:w="1939"/>
        <w:gridCol w:w="1939"/>
        <w:gridCol w:w="1939"/>
      </w:tblGrid>
      <w:tr>
        <w:tc>
          <w:tcPr>
            <w:tcW w:type="dxa" w:w="1939"/>
            <w:shd w:fill="1E3A5F" w:val="clear"/>
          </w:tcPr>
          <w:p>
            <w:pPr>
              <w:jc w:val="center"/>
            </w:pPr>
            <w:r>
              <w:rPr>
                <w:rFonts w:ascii="Arial" w:hAnsi="Arial"/>
                <w:b/>
                <w:color w:val="FFFFFF"/>
                <w:sz w:val="18"/>
              </w:rPr>
            </w:r>
            <w:r>
              <w:rPr>
                <w:rFonts w:ascii="Arial" w:hAnsi="Arial"/>
                <w:b/>
                <w:color w:val="FFFFFF"/>
                <w:sz w:val="18"/>
              </w:rPr>
              <w:t>Constraint</w:t>
            </w:r>
          </w:p>
        </w:tc>
        <w:tc>
          <w:tcPr>
            <w:tcW w:type="dxa" w:w="1939"/>
            <w:shd w:fill="1E3A5F" w:val="clear"/>
          </w:tcPr>
          <w:p>
            <w:pPr>
              <w:jc w:val="center"/>
            </w:pPr>
            <w:r>
              <w:rPr>
                <w:rFonts w:ascii="Arial" w:hAnsi="Arial"/>
                <w:b/>
                <w:color w:val="FFFFFF"/>
                <w:sz w:val="18"/>
              </w:rPr>
            </w:r>
            <w:r>
              <w:rPr>
                <w:rFonts w:ascii="Arial" w:hAnsi="Arial"/>
                <w:b/>
                <w:color w:val="FFFFFF"/>
                <w:sz w:val="18"/>
              </w:rPr>
              <w:t>Severity</w:t>
            </w:r>
          </w:p>
        </w:tc>
        <w:tc>
          <w:tcPr>
            <w:tcW w:type="dxa" w:w="1939"/>
            <w:shd w:fill="1E3A5F" w:val="clear"/>
          </w:tcPr>
          <w:p>
            <w:pPr>
              <w:jc w:val="center"/>
            </w:pPr>
            <w:r>
              <w:rPr>
                <w:rFonts w:ascii="Arial" w:hAnsi="Arial"/>
                <w:b/>
                <w:color w:val="FFFFFF"/>
                <w:sz w:val="18"/>
              </w:rPr>
            </w:r>
            <w:r>
              <w:rPr>
                <w:rFonts w:ascii="Arial" w:hAnsi="Arial"/>
                <w:b/>
                <w:color w:val="FFFFFF"/>
                <w:sz w:val="18"/>
              </w:rPr>
              <w:t>Coverage</w:t>
            </w:r>
          </w:p>
        </w:tc>
        <w:tc>
          <w:tcPr>
            <w:tcW w:type="dxa" w:w="1939"/>
            <w:shd w:fill="1E3A5F" w:val="clear"/>
          </w:tcPr>
          <w:p>
            <w:pPr>
              <w:jc w:val="center"/>
            </w:pPr>
            <w:r>
              <w:rPr>
                <w:rFonts w:ascii="Arial" w:hAnsi="Arial"/>
                <w:b/>
                <w:color w:val="FFFFFF"/>
                <w:sz w:val="18"/>
              </w:rPr>
            </w:r>
            <w:r>
              <w:rPr>
                <w:rFonts w:ascii="Arial" w:hAnsi="Arial"/>
                <w:b/>
                <w:color w:val="FFFFFF"/>
                <w:sz w:val="18"/>
              </w:rPr>
              <w:t>Est. Cost</w:t>
            </w:r>
          </w:p>
        </w:tc>
        <w:tc>
          <w:tcPr>
            <w:tcW w:type="dxa" w:w="1939"/>
            <w:shd w:fill="1E3A5F" w:val="clear"/>
          </w:tcPr>
          <w:p>
            <w:pPr>
              <w:jc w:val="center"/>
            </w:pPr>
            <w:r>
              <w:rPr>
                <w:rFonts w:ascii="Arial" w:hAnsi="Arial"/>
                <w:b/>
                <w:color w:val="FFFFFF"/>
                <w:sz w:val="18"/>
              </w:rPr>
            </w:r>
            <w:r>
              <w:rPr>
                <w:rFonts w:ascii="Arial" w:hAnsi="Arial"/>
                <w:b/>
                <w:color w:val="FFFFFF"/>
                <w:sz w:val="18"/>
              </w:rPr>
              <w:t>Timeline</w:t>
            </w:r>
          </w:p>
        </w:tc>
        <w:tc>
          <w:tcPr>
            <w:tcW w:type="dxa" w:w="1939"/>
            <w:shd w:fill="1E3A5F" w:val="clear"/>
          </w:tcPr>
          <w:p>
            <w:pPr>
              <w:jc w:val="center"/>
            </w:pPr>
            <w:r>
              <w:rPr>
                <w:rFonts w:ascii="Arial" w:hAnsi="Arial"/>
                <w:b/>
                <w:color w:val="FFFFFF"/>
                <w:sz w:val="18"/>
              </w:rPr>
            </w:r>
            <w:r>
              <w:rPr>
                <w:rFonts w:ascii="Arial" w:hAnsi="Arial"/>
                <w:b/>
                <w:color w:val="FFFFFF"/>
                <w:sz w:val="18"/>
              </w:rPr>
              <w:t>Mitigation</w:t>
            </w:r>
          </w:p>
        </w:tc>
        <w:tc>
          <w:tcPr>
            <w:tcW w:type="dxa" w:w="1939"/>
            <w:shd w:fill="1E3A5F" w:val="clear"/>
          </w:tcPr>
          <w:p>
            <w:pPr>
              <w:jc w:val="center"/>
            </w:pPr>
            <w:r>
              <w:rPr>
                <w:rFonts w:ascii="Arial" w:hAnsi="Arial"/>
                <w:b/>
                <w:color w:val="FFFFFF"/>
                <w:sz w:val="18"/>
              </w:rPr>
            </w:r>
            <w:r>
              <w:rPr>
                <w:rFonts w:ascii="Arial" w:hAnsi="Arial"/>
                <w:b/>
                <w:color w:val="FFFFFF"/>
                <w:sz w:val="18"/>
              </w:rPr>
              <w:t>Fatal?</w:t>
            </w:r>
          </w:p>
        </w:tc>
      </w:tr>
      <w:tr>
        <w:tc>
          <w:tcPr>
            <w:tcW w:type="dxa" w:w="1939"/>
          </w:tcPr>
          <w:p>
            <w:pPr>
              <w:jc w:val="left"/>
            </w:pPr>
            <w:r/>
            <w:r>
              <w:rPr>
                <w:rFonts w:ascii="Arial" w:hAnsi="Arial"/>
                <w:b w:val="0"/>
                <w:sz w:val="16"/>
              </w:rPr>
              <w:t>HOA CC&amp;Rs — Multifamily</w:t>
              <w:br/>
              <w:t>Likely Prohibited</w:t>
            </w:r>
          </w:p>
        </w:tc>
        <w:tc>
          <w:tcPr>
            <w:tcW w:type="dxa" w:w="1939"/>
            <w:shd w:fill="CC0000" w:val="clear"/>
          </w:tcPr>
          <w:p>
            <w:pPr>
              <w:jc w:val="left"/>
            </w:pPr>
            <w:r>
              <w:rPr>
                <w:color w:val="FFFFFF"/>
              </w:rPr>
            </w:r>
            <w:r>
              <w:rPr>
                <w:rFonts w:ascii="Arial" w:hAnsi="Arial"/>
                <w:b w:val="0"/>
                <w:color w:val="FFFFFF"/>
                <w:sz w:val="16"/>
              </w:rPr>
              <w:t>POTENTIAL</w:t>
              <w:br/>
              <w:t>FATAL</w:t>
            </w:r>
          </w:p>
        </w:tc>
        <w:tc>
          <w:tcPr>
            <w:tcW w:type="dxa" w:w="1939"/>
          </w:tcPr>
          <w:p>
            <w:pPr>
              <w:jc w:val="left"/>
            </w:pPr>
            <w:r/>
            <w:r>
              <w:rPr>
                <w:rFonts w:ascii="Arial" w:hAnsi="Arial"/>
                <w:b w:val="0"/>
                <w:sz w:val="16"/>
              </w:rPr>
              <w:t>100%</w:t>
            </w:r>
          </w:p>
        </w:tc>
        <w:tc>
          <w:tcPr>
            <w:tcW w:type="dxa" w:w="1939"/>
          </w:tcPr>
          <w:p>
            <w:pPr>
              <w:jc w:val="left"/>
            </w:pPr>
            <w:r/>
            <w:r>
              <w:rPr>
                <w:rFonts w:ascii="Arial" w:hAnsi="Arial"/>
                <w:b w:val="0"/>
                <w:sz w:val="16"/>
              </w:rPr>
              <w:t>$5K legal</w:t>
              <w:br/>
              <w:t>review</w:t>
            </w:r>
          </w:p>
        </w:tc>
        <w:tc>
          <w:tcPr>
            <w:tcW w:type="dxa" w:w="1939"/>
          </w:tcPr>
          <w:p>
            <w:pPr>
              <w:jc w:val="left"/>
            </w:pPr>
            <w:r/>
            <w:r>
              <w:rPr>
                <w:rFonts w:ascii="Arial" w:hAnsi="Arial"/>
                <w:b w:val="0"/>
                <w:sz w:val="16"/>
              </w:rPr>
              <w:t>1-2 months</w:t>
            </w:r>
          </w:p>
        </w:tc>
        <w:tc>
          <w:tcPr>
            <w:tcW w:type="dxa" w:w="1939"/>
          </w:tcPr>
          <w:p>
            <w:pPr>
              <w:jc w:val="left"/>
            </w:pPr>
            <w:r/>
            <w:r>
              <w:rPr>
                <w:rFonts w:ascii="Arial" w:hAnsi="Arial"/>
                <w:b w:val="0"/>
                <w:sz w:val="16"/>
              </w:rPr>
              <w:t>CC&amp;R amendment (75%</w:t>
              <w:br/>
              <w:t>vote) or legal separation</w:t>
            </w:r>
          </w:p>
        </w:tc>
        <w:tc>
          <w:tcPr>
            <w:tcW w:type="dxa" w:w="1939"/>
          </w:tcPr>
          <w:p>
            <w:pPr>
              <w:jc w:val="left"/>
            </w:pPr>
            <w:r/>
            <w:r>
              <w:rPr>
                <w:rFonts w:ascii="Arial" w:hAnsi="Arial"/>
                <w:b w:val="0"/>
                <w:sz w:val="16"/>
              </w:rPr>
              <w:t>YES</w:t>
            </w:r>
          </w:p>
        </w:tc>
      </w:tr>
      <w:tr>
        <w:tc>
          <w:tcPr>
            <w:tcW w:type="dxa" w:w="1939"/>
          </w:tcPr>
          <w:p>
            <w:pPr>
              <w:jc w:val="left"/>
            </w:pPr>
            <w:r/>
            <w:r>
              <w:rPr>
                <w:rFonts w:ascii="Arial" w:hAnsi="Arial"/>
                <w:b w:val="0"/>
                <w:sz w:val="16"/>
              </w:rPr>
              <w:t>No Sewer/Water</w:t>
              <w:br/>
              <w:t>Service Available</w:t>
            </w:r>
          </w:p>
        </w:tc>
        <w:tc>
          <w:tcPr>
            <w:tcW w:type="dxa" w:w="1939"/>
            <w:shd w:fill="FF8C00" w:val="clear"/>
          </w:tcPr>
          <w:p>
            <w:pPr>
              <w:jc w:val="left"/>
            </w:pPr>
            <w:r>
              <w:rPr>
                <w:color w:val="FFFFFF"/>
              </w:rPr>
            </w:r>
            <w:r>
              <w:rPr>
                <w:rFonts w:ascii="Arial" w:hAnsi="Arial"/>
                <w:b w:val="0"/>
                <w:color w:val="FFFFFF"/>
                <w:sz w:val="16"/>
              </w:rPr>
              <w:t>HIGH</w:t>
            </w:r>
          </w:p>
        </w:tc>
        <w:tc>
          <w:tcPr>
            <w:tcW w:type="dxa" w:w="1939"/>
          </w:tcPr>
          <w:p>
            <w:pPr>
              <w:jc w:val="left"/>
            </w:pPr>
            <w:r/>
            <w:r>
              <w:rPr>
                <w:rFonts w:ascii="Arial" w:hAnsi="Arial"/>
                <w:b w:val="0"/>
                <w:sz w:val="16"/>
              </w:rPr>
              <w:t>100%</w:t>
            </w:r>
          </w:p>
        </w:tc>
        <w:tc>
          <w:tcPr>
            <w:tcW w:type="dxa" w:w="1939"/>
          </w:tcPr>
          <w:p>
            <w:pPr>
              <w:jc w:val="left"/>
            </w:pPr>
            <w:r/>
            <w:r>
              <w:rPr>
                <w:rFonts w:ascii="Arial" w:hAnsi="Arial"/>
                <w:b w:val="0"/>
                <w:sz w:val="16"/>
              </w:rPr>
              <w:t>$5K-$25K</w:t>
              <w:br/>
              <w:t>extension</w:t>
            </w:r>
          </w:p>
        </w:tc>
        <w:tc>
          <w:tcPr>
            <w:tcW w:type="dxa" w:w="1939"/>
          </w:tcPr>
          <w:p>
            <w:pPr>
              <w:jc w:val="left"/>
            </w:pPr>
            <w:r/>
            <w:r>
              <w:rPr>
                <w:rFonts w:ascii="Arial" w:hAnsi="Arial"/>
                <w:b w:val="0"/>
                <w:sz w:val="16"/>
              </w:rPr>
              <w:t>2-6 months</w:t>
            </w:r>
          </w:p>
        </w:tc>
        <w:tc>
          <w:tcPr>
            <w:tcW w:type="dxa" w:w="1939"/>
          </w:tcPr>
          <w:p>
            <w:pPr>
              <w:jc w:val="left"/>
            </w:pPr>
            <w:r/>
            <w:r>
              <w:rPr>
                <w:rFonts w:ascii="Arial" w:hAnsi="Arial"/>
                <w:b w:val="0"/>
                <w:sz w:val="16"/>
              </w:rPr>
              <w:t>Sewer main extension from</w:t>
              <w:br/>
              <w:t>adjacent parcel (2153)</w:t>
            </w:r>
          </w:p>
        </w:tc>
        <w:tc>
          <w:tcPr>
            <w:tcW w:type="dxa" w:w="1939"/>
          </w:tcPr>
          <w:p>
            <w:pPr>
              <w:jc w:val="left"/>
            </w:pPr>
            <w:r/>
            <w:r>
              <w:rPr>
                <w:rFonts w:ascii="Arial" w:hAnsi="Arial"/>
                <w:b w:val="0"/>
                <w:sz w:val="16"/>
              </w:rPr>
              <w:t>NO</w:t>
            </w:r>
          </w:p>
        </w:tc>
      </w:tr>
      <w:tr>
        <w:tc>
          <w:tcPr>
            <w:tcW w:type="dxa" w:w="1939"/>
          </w:tcPr>
          <w:p>
            <w:pPr>
              <w:jc w:val="left"/>
            </w:pPr>
            <w:r/>
            <w:r>
              <w:rPr>
                <w:rFonts w:ascii="Arial" w:hAnsi="Arial"/>
                <w:b w:val="0"/>
                <w:sz w:val="16"/>
              </w:rPr>
              <w:t>FEMA Zone A Flood</w:t>
              <w:br/>
              <w:t>(No BFE)</w:t>
            </w:r>
          </w:p>
        </w:tc>
        <w:tc>
          <w:tcPr>
            <w:tcW w:type="dxa" w:w="1939"/>
            <w:shd w:fill="FF8C00" w:val="clear"/>
          </w:tcPr>
          <w:p>
            <w:pPr>
              <w:jc w:val="left"/>
            </w:pPr>
            <w:r>
              <w:rPr>
                <w:color w:val="FFFFFF"/>
              </w:rPr>
            </w:r>
            <w:r>
              <w:rPr>
                <w:rFonts w:ascii="Arial" w:hAnsi="Arial"/>
                <w:b w:val="0"/>
                <w:color w:val="FFFFFF"/>
                <w:sz w:val="16"/>
              </w:rPr>
              <w:t>HIGH</w:t>
            </w:r>
          </w:p>
        </w:tc>
        <w:tc>
          <w:tcPr>
            <w:tcW w:type="dxa" w:w="1939"/>
          </w:tcPr>
          <w:p>
            <w:pPr>
              <w:jc w:val="left"/>
            </w:pPr>
            <w:r/>
            <w:r>
              <w:rPr>
                <w:rFonts w:ascii="Arial" w:hAnsi="Arial"/>
                <w:b w:val="0"/>
                <w:sz w:val="16"/>
              </w:rPr>
              <w:t>100%</w:t>
            </w:r>
          </w:p>
        </w:tc>
        <w:tc>
          <w:tcPr>
            <w:tcW w:type="dxa" w:w="1939"/>
          </w:tcPr>
          <w:p>
            <w:pPr>
              <w:jc w:val="left"/>
            </w:pPr>
            <w:r/>
            <w:r>
              <w:rPr>
                <w:rFonts w:ascii="Arial" w:hAnsi="Arial"/>
                <w:b w:val="0"/>
                <w:sz w:val="16"/>
              </w:rPr>
              <w:t>$5K-$25K study</w:t>
              <w:br/>
              <w:t>+ 17.5% premium</w:t>
            </w:r>
          </w:p>
        </w:tc>
        <w:tc>
          <w:tcPr>
            <w:tcW w:type="dxa" w:w="1939"/>
          </w:tcPr>
          <w:p>
            <w:pPr>
              <w:jc w:val="left"/>
            </w:pPr>
            <w:r/>
            <w:r>
              <w:rPr>
                <w:rFonts w:ascii="Arial" w:hAnsi="Arial"/>
                <w:b w:val="0"/>
                <w:sz w:val="16"/>
              </w:rPr>
              <w:t>6-12 weeks</w:t>
              <w:br/>
              <w:t>study</w:t>
            </w:r>
          </w:p>
        </w:tc>
        <w:tc>
          <w:tcPr>
            <w:tcW w:type="dxa" w:w="1939"/>
          </w:tcPr>
          <w:p>
            <w:pPr>
              <w:jc w:val="left"/>
            </w:pPr>
            <w:r/>
            <w:r>
              <w:rPr>
                <w:rFonts w:ascii="Arial" w:hAnsi="Arial"/>
                <w:b w:val="0"/>
                <w:sz w:val="16"/>
              </w:rPr>
              <w:t>BFE determination, elevated</w:t>
              <w:br/>
              <w:t>construction, LOMA/LOMR-F</w:t>
            </w:r>
          </w:p>
        </w:tc>
        <w:tc>
          <w:tcPr>
            <w:tcW w:type="dxa" w:w="1939"/>
          </w:tcPr>
          <w:p>
            <w:pPr>
              <w:jc w:val="left"/>
            </w:pPr>
            <w:r/>
            <w:r>
              <w:rPr>
                <w:rFonts w:ascii="Arial" w:hAnsi="Arial"/>
                <w:b w:val="0"/>
                <w:sz w:val="16"/>
              </w:rPr>
              <w:t>NO</w:t>
            </w:r>
          </w:p>
        </w:tc>
      </w:tr>
      <w:tr>
        <w:tc>
          <w:tcPr>
            <w:tcW w:type="dxa" w:w="1939"/>
          </w:tcPr>
          <w:p>
            <w:pPr>
              <w:jc w:val="left"/>
            </w:pPr>
            <w:r/>
            <w:r>
              <w:rPr>
                <w:rFonts w:ascii="Arial" w:hAnsi="Arial"/>
                <w:b w:val="0"/>
                <w:sz w:val="16"/>
              </w:rPr>
              <w:t>NWI Wetland PEM1Cd</w:t>
              <w:br/>
              <w:t>(Freshwater Emergent)</w:t>
            </w:r>
          </w:p>
        </w:tc>
        <w:tc>
          <w:tcPr>
            <w:tcW w:type="dxa" w:w="1939"/>
            <w:shd w:fill="FF8C00" w:val="clear"/>
          </w:tcPr>
          <w:p>
            <w:pPr>
              <w:jc w:val="left"/>
            </w:pPr>
            <w:r>
              <w:rPr>
                <w:color w:val="FFFFFF"/>
              </w:rPr>
            </w:r>
            <w:r>
              <w:rPr>
                <w:rFonts w:ascii="Arial" w:hAnsi="Arial"/>
                <w:b w:val="0"/>
                <w:color w:val="FFFFFF"/>
                <w:sz w:val="16"/>
              </w:rPr>
              <w:t>HIGH</w:t>
            </w:r>
          </w:p>
        </w:tc>
        <w:tc>
          <w:tcPr>
            <w:tcW w:type="dxa" w:w="1939"/>
          </w:tcPr>
          <w:p>
            <w:pPr>
              <w:jc w:val="left"/>
            </w:pPr>
            <w:r/>
            <w:r>
              <w:rPr>
                <w:rFonts w:ascii="Arial" w:hAnsi="Arial"/>
                <w:b w:val="0"/>
                <w:sz w:val="16"/>
              </w:rPr>
              <w:t>100%*</w:t>
            </w:r>
          </w:p>
        </w:tc>
        <w:tc>
          <w:tcPr>
            <w:tcW w:type="dxa" w:w="1939"/>
          </w:tcPr>
          <w:p>
            <w:pPr>
              <w:jc w:val="left"/>
            </w:pPr>
            <w:r/>
            <w:r>
              <w:rPr>
                <w:rFonts w:ascii="Arial" w:hAnsi="Arial"/>
                <w:b w:val="0"/>
                <w:sz w:val="16"/>
              </w:rPr>
              <w:t>$43K-$108K</w:t>
              <w:br/>
              <w:t>mitigation</w:t>
            </w:r>
          </w:p>
        </w:tc>
        <w:tc>
          <w:tcPr>
            <w:tcW w:type="dxa" w:w="1939"/>
          </w:tcPr>
          <w:p>
            <w:pPr>
              <w:jc w:val="left"/>
            </w:pPr>
            <w:r/>
            <w:r>
              <w:rPr>
                <w:rFonts w:ascii="Arial" w:hAnsi="Arial"/>
                <w:b w:val="0"/>
                <w:sz w:val="16"/>
              </w:rPr>
              <w:t>4-6 months</w:t>
              <w:br/>
              <w:t>ERP</w:t>
            </w:r>
          </w:p>
        </w:tc>
        <w:tc>
          <w:tcPr>
            <w:tcW w:type="dxa" w:w="1939"/>
          </w:tcPr>
          <w:p>
            <w:pPr>
              <w:jc w:val="left"/>
            </w:pPr>
            <w:r/>
            <w:r>
              <w:rPr>
                <w:rFonts w:ascii="Arial" w:hAnsi="Arial"/>
                <w:b w:val="0"/>
                <w:sz w:val="16"/>
              </w:rPr>
              <w:t>Mitigation bank credits</w:t>
              <w:br/>
              <w:t>(Farmton), minimize impact</w:t>
            </w:r>
          </w:p>
        </w:tc>
        <w:tc>
          <w:tcPr>
            <w:tcW w:type="dxa" w:w="1939"/>
          </w:tcPr>
          <w:p>
            <w:pPr>
              <w:jc w:val="left"/>
            </w:pPr>
            <w:r/>
            <w:r>
              <w:rPr>
                <w:rFonts w:ascii="Arial" w:hAnsi="Arial"/>
                <w:b w:val="0"/>
                <w:sz w:val="16"/>
              </w:rPr>
              <w:t>NO</w:t>
            </w:r>
          </w:p>
        </w:tc>
      </w:tr>
      <w:tr>
        <w:tc>
          <w:tcPr>
            <w:tcW w:type="dxa" w:w="1939"/>
          </w:tcPr>
          <w:p>
            <w:pPr>
              <w:jc w:val="left"/>
            </w:pPr>
            <w:r/>
            <w:r>
              <w:rPr>
                <w:rFonts w:ascii="Arial" w:hAnsi="Arial"/>
                <w:b w:val="0"/>
                <w:sz w:val="16"/>
              </w:rPr>
              <w:t>Wellhead Protection</w:t>
              <w:br/>
              <w:t>Easement (200-ft radius)</w:t>
            </w:r>
          </w:p>
        </w:tc>
        <w:tc>
          <w:tcPr>
            <w:tcW w:type="dxa" w:w="1939"/>
            <w:shd w:fill="FF8C00" w:val="clear"/>
          </w:tcPr>
          <w:p>
            <w:pPr>
              <w:jc w:val="left"/>
            </w:pPr>
            <w:r>
              <w:rPr>
                <w:color w:val="FFFFFF"/>
              </w:rPr>
            </w:r>
            <w:r>
              <w:rPr>
                <w:rFonts w:ascii="Arial" w:hAnsi="Arial"/>
                <w:b w:val="0"/>
                <w:color w:val="FFFFFF"/>
                <w:sz w:val="16"/>
              </w:rPr>
              <w:t>HIGH</w:t>
            </w:r>
          </w:p>
        </w:tc>
        <w:tc>
          <w:tcPr>
            <w:tcW w:type="dxa" w:w="1939"/>
          </w:tcPr>
          <w:p>
            <w:pPr>
              <w:jc w:val="left"/>
            </w:pPr>
            <w:r/>
            <w:r>
              <w:rPr>
                <w:rFonts w:ascii="Arial" w:hAnsi="Arial"/>
                <w:b w:val="0"/>
                <w:sz w:val="16"/>
              </w:rPr>
              <w:t>47%</w:t>
            </w:r>
          </w:p>
        </w:tc>
        <w:tc>
          <w:tcPr>
            <w:tcW w:type="dxa" w:w="1939"/>
          </w:tcPr>
          <w:p>
            <w:pPr>
              <w:jc w:val="left"/>
            </w:pPr>
            <w:r/>
            <w:r>
              <w:rPr>
                <w:rFonts w:ascii="Arial" w:hAnsi="Arial"/>
                <w:b w:val="0"/>
                <w:sz w:val="16"/>
              </w:rPr>
              <w:t>$0 (wait)</w:t>
              <w:br/>
              <w:t>or redesign</w:t>
            </w:r>
          </w:p>
        </w:tc>
        <w:tc>
          <w:tcPr>
            <w:tcW w:type="dxa" w:w="1939"/>
          </w:tcPr>
          <w:p>
            <w:pPr>
              <w:jc w:val="left"/>
            </w:pPr>
            <w:r/>
            <w:r>
              <w:rPr>
                <w:rFonts w:ascii="Arial" w:hAnsi="Arial"/>
                <w:b w:val="0"/>
                <w:sz w:val="16"/>
              </w:rPr>
              <w:t>~10 years</w:t>
            </w:r>
          </w:p>
        </w:tc>
        <w:tc>
          <w:tcPr>
            <w:tcW w:type="dxa" w:w="1939"/>
          </w:tcPr>
          <w:p>
            <w:pPr>
              <w:jc w:val="left"/>
            </w:pPr>
            <w:r/>
            <w:r>
              <w:rPr>
                <w:rFonts w:ascii="Arial" w:hAnsi="Arial"/>
                <w:b w:val="0"/>
                <w:sz w:val="16"/>
              </w:rPr>
              <w:t>Phase 1 outside easement;</w:t>
              <w:br/>
              <w:t>Phase 2 after vacation</w:t>
            </w:r>
          </w:p>
        </w:tc>
        <w:tc>
          <w:tcPr>
            <w:tcW w:type="dxa" w:w="1939"/>
          </w:tcPr>
          <w:p>
            <w:pPr>
              <w:jc w:val="left"/>
            </w:pPr>
            <w:r/>
            <w:r>
              <w:rPr>
                <w:rFonts w:ascii="Arial" w:hAnsi="Arial"/>
                <w:b w:val="0"/>
                <w:sz w:val="16"/>
              </w:rPr>
              <w:t>NO</w:t>
            </w:r>
          </w:p>
        </w:tc>
      </w:tr>
    </w:tbl>
    <w:p>
      <w:r>
        <w:rPr>
          <w:rFonts w:ascii="Arial" w:hAnsi="Arial"/>
          <w:b w:val="0"/>
          <w:i w:val="0"/>
          <w:sz w:val="20"/>
        </w:rPr>
      </w:r>
    </w:p>
    <w:p>
      <w:r>
        <w:rPr>
          <w:rFonts w:ascii="Arial" w:hAnsi="Arial"/>
          <w:b w:val="0"/>
          <w:i/>
          <w:sz w:val="20"/>
        </w:rPr>
        <w:t>* NWI coverage is 100% of parcel per polygon query, but actual jurisdictional wetland boundary requires professional delineation. Partially drained (d) modifier may reduce actual jurisdictional area.</w:t>
      </w:r>
    </w:p>
    <w:p>
      <w:r>
        <w:rPr>
          <w:rFonts w:ascii="Arial" w:hAnsi="Arial"/>
          <w:b w:val="0"/>
          <w:i w:val="0"/>
          <w:sz w:val="20"/>
        </w:rPr>
      </w:r>
    </w:p>
    <w:p>
      <w:r>
        <w:rPr>
          <w:rFonts w:ascii="Arial" w:hAnsi="Arial"/>
          <w:b/>
          <w:i w:val="0"/>
          <w:sz w:val="20"/>
        </w:rPr>
        <w:t>Combined Risk Assessment:</w:t>
      </w:r>
    </w:p>
    <w:p>
      <w:r>
        <w:rPr>
          <w:rFonts w:ascii="Arial" w:hAnsi="Arial"/>
          <w:b w:val="0"/>
          <w:i w:val="0"/>
          <w:sz w:val="20"/>
        </w:rPr>
        <w:t>VERY HIGH. Five overlapping constraints create a "constraint stacking" effect where each issue compounds the others. The HOA CC&amp;R constraint is potentially fatal and must be resolved first. Even if all constraints can be mitigated, the combined cost ($77K-$203K environmental + $130K-$260K impact fees + $30K-$66K permit fees) far exceeds the economic capacity of this 1.1-acre parcel.</w:t>
      </w:r>
    </w:p>
    <w:p>
      <w:pPr>
        <w:sectPr>
          <w:type w:val="nextColumn"/>
          <w:pgSz w:w="15840" w:h="12240" w:orient="landscape"/>
          <w:pgMar w:top="1134" w:right="1134" w:bottom="1134" w:left="1134" w:header="720" w:footer="720" w:gutter="0"/>
          <w:cols w:space="720"/>
          <w:docGrid w:linePitch="360"/>
        </w:sectPr>
      </w:pPr>
    </w:p>
    <w:p>
      <w:pPr>
        <w:pStyle w:val="Heading1"/>
      </w:pPr>
      <w:r>
        <w:rPr>
          <w:rFonts w:ascii="Arial" w:hAnsi="Arial"/>
          <w:color w:val="1E3A5F"/>
        </w:rPr>
        <w:t>Section 12: Recommendation</w:t>
      </w:r>
    </w:p>
    <w:p>
      <w:r>
        <w:rPr>
          <w:rFonts w:ascii="Arial" w:hAnsi="Arial"/>
          <w:b/>
          <w:color w:val="CC0000"/>
          <w:sz w:val="28"/>
        </w:rPr>
        <w:t>RECOMMENDATION: HOLD / CONDITIONAL NO-GO</w:t>
      </w:r>
    </w:p>
    <w:p>
      <w:r>
        <w:rPr>
          <w:rFonts w:ascii="Arial" w:hAnsi="Arial"/>
          <w:b w:val="0"/>
          <w:i w:val="0"/>
          <w:sz w:val="20"/>
        </w:rPr>
      </w:r>
    </w:p>
    <w:p>
      <w:r>
        <w:rPr>
          <w:rFonts w:ascii="Arial" w:hAnsi="Arial"/>
          <w:b/>
          <w:i w:val="0"/>
          <w:sz w:val="20"/>
        </w:rPr>
        <w:t>Primary Finding</w:t>
      </w:r>
    </w:p>
    <w:p>
      <w:r>
        <w:rPr>
          <w:rFonts w:ascii="Arial" w:hAnsi="Arial"/>
          <w:b w:val="0"/>
          <w:i w:val="0"/>
          <w:sz w:val="20"/>
        </w:rPr>
        <w:t>Multifamily development on this parcel is NOT ECONOMICALLY FEASIBLE under current conditions. The combination of five overlapping constraints — HOA CC&amp;Rs, no sewer, flood zone, wetlands, and wellhead easement — creates a development cost that exceeds the stabilized property value by approximately 2x. Environmental compliance costs alone ($77K-$203K) exceed the land value ($55K).</w:t>
      </w:r>
    </w:p>
    <w:p>
      <w:r>
        <w:rPr>
          <w:rFonts w:ascii="Arial" w:hAnsi="Arial"/>
          <w:b w:val="0"/>
          <w:i w:val="0"/>
          <w:sz w:val="20"/>
        </w:rPr>
      </w:r>
    </w:p>
    <w:p>
      <w:r>
        <w:rPr>
          <w:rFonts w:ascii="Arial" w:hAnsi="Arial"/>
          <w:b/>
          <w:i w:val="0"/>
          <w:sz w:val="20"/>
        </w:rPr>
        <w:t>Immediate Actions (Cost: $0-$50)</w:t>
      </w:r>
    </w:p>
    <w:p>
      <w:pPr>
        <w:pStyle w:val="ListBullet"/>
      </w:pPr>
      <w:r>
        <w:rPr>
          <w:rFonts w:ascii="Arial" w:hAnsi="Arial"/>
          <w:b/>
          <w:sz w:val="20"/>
        </w:rPr>
        <w:t>1.</w:t>
      </w:r>
      <w:r>
        <w:rPr>
          <w:rFonts w:ascii="Arial" w:hAnsi="Arial"/>
          <w:sz w:val="20"/>
        </w:rPr>
        <w:t xml:space="preserve"> Obtain CC&amp;Rs (OR Book 3636/2327) from Brevard County Clerk. This is the #1 priority. If multifamily is prohibited, no further analysis is warranted for the intended use.</w:t>
      </w:r>
    </w:p>
    <w:p>
      <w:pPr>
        <w:pStyle w:val="ListBullet"/>
      </w:pPr>
      <w:r>
        <w:rPr>
          <w:rFonts w:ascii="Arial" w:hAnsi="Arial"/>
          <w:b/>
          <w:sz w:val="20"/>
        </w:rPr>
        <w:t>2.</w:t>
      </w:r>
      <w:r>
        <w:rPr>
          <w:rFonts w:ascii="Arial" w:hAnsi="Arial"/>
          <w:sz w:val="20"/>
        </w:rPr>
        <w:t xml:space="preserve"> Obtain PUD ordinance from Palm Bay City Clerk at (321) 733-3042. This determines all permitted development standards.</w:t>
      </w:r>
    </w:p>
    <w:p>
      <w:pPr>
        <w:pStyle w:val="ListBullet"/>
      </w:pPr>
      <w:r>
        <w:rPr>
          <w:rFonts w:ascii="Arial" w:hAnsi="Arial"/>
          <w:b/>
          <w:sz w:val="20"/>
        </w:rPr>
        <w:t>3.</w:t>
      </w:r>
      <w:r>
        <w:rPr>
          <w:rFonts w:ascii="Arial" w:hAnsi="Arial"/>
          <w:sz w:val="20"/>
        </w:rPr>
        <w:t xml:space="preserve"> Call Palm Bay Utilities at (321) 952-3420 to confirm sewer availability and extension costs.</w:t>
      </w:r>
    </w:p>
    <w:p>
      <w:r>
        <w:rPr>
          <w:rFonts w:ascii="Arial" w:hAnsi="Arial"/>
          <w:b w:val="0"/>
          <w:i w:val="0"/>
          <w:sz w:val="20"/>
        </w:rPr>
      </w:r>
    </w:p>
    <w:p>
      <w:r>
        <w:rPr>
          <w:rFonts w:ascii="Arial" w:hAnsi="Arial"/>
          <w:b/>
          <w:i w:val="0"/>
          <w:sz w:val="20"/>
        </w:rPr>
        <w:t>Decision Framework</w:t>
      </w:r>
    </w:p>
    <w:tbl>
      <w:tblPr>
        <w:tblStyle w:val="TableGrid"/>
        <w:tblW w:type="auto" w:w="0"/>
        <w:jc w:val="center"/>
        <w:tblLook w:firstColumn="1" w:firstRow="1" w:lastColumn="0" w:lastRow="0" w:noHBand="0" w:noVBand="1" w:val="04A0"/>
      </w:tblPr>
      <w:tblGrid>
        <w:gridCol w:w="3135"/>
        <w:gridCol w:w="3135"/>
        <w:gridCol w:w="3135"/>
      </w:tblGrid>
      <w:tr>
        <w:tc>
          <w:tcPr>
            <w:tcW w:type="dxa" w:w="4320"/>
            <w:shd w:fill="1E3A5F" w:val="clear"/>
          </w:tcPr>
          <w:p>
            <w:pPr>
              <w:jc w:val="center"/>
            </w:pPr>
            <w:r>
              <w:rPr>
                <w:rFonts w:ascii="Arial" w:hAnsi="Arial"/>
                <w:b/>
                <w:color w:val="FFFFFF"/>
                <w:sz w:val="18"/>
              </w:rPr>
            </w:r>
            <w:r>
              <w:rPr>
                <w:rFonts w:ascii="Arial" w:hAnsi="Arial"/>
                <w:b/>
                <w:color w:val="FFFFFF"/>
                <w:sz w:val="18"/>
              </w:rPr>
              <w:t>Scenario</w:t>
            </w:r>
          </w:p>
        </w:tc>
        <w:tc>
          <w:tcPr>
            <w:tcW w:type="dxa" w:w="2160"/>
            <w:shd w:fill="1E3A5F" w:val="clear"/>
          </w:tcPr>
          <w:p>
            <w:pPr>
              <w:jc w:val="center"/>
            </w:pPr>
            <w:r>
              <w:rPr>
                <w:rFonts w:ascii="Arial" w:hAnsi="Arial"/>
                <w:b/>
                <w:color w:val="FFFFFF"/>
                <w:sz w:val="18"/>
              </w:rPr>
            </w:r>
            <w:r>
              <w:rPr>
                <w:rFonts w:ascii="Arial" w:hAnsi="Arial"/>
                <w:b/>
                <w:color w:val="FFFFFF"/>
                <w:sz w:val="18"/>
              </w:rPr>
              <w:t>Decision</w:t>
            </w:r>
          </w:p>
        </w:tc>
        <w:tc>
          <w:tcPr>
            <w:tcW w:type="dxa" w:w="3600"/>
            <w:shd w:fill="1E3A5F" w:val="clear"/>
          </w:tcPr>
          <w:p>
            <w:pPr>
              <w:jc w:val="center"/>
            </w:pPr>
            <w:r>
              <w:rPr>
                <w:rFonts w:ascii="Arial" w:hAnsi="Arial"/>
                <w:b/>
                <w:color w:val="FFFFFF"/>
                <w:sz w:val="18"/>
              </w:rPr>
            </w:r>
            <w:r>
              <w:rPr>
                <w:rFonts w:ascii="Arial" w:hAnsi="Arial"/>
                <w:b/>
                <w:color w:val="FFFFFF"/>
                <w:sz w:val="18"/>
              </w:rPr>
              <w:t>Next Step</w:t>
            </w:r>
          </w:p>
        </w:tc>
      </w:tr>
      <w:tr>
        <w:tc>
          <w:tcPr>
            <w:tcW w:type="dxa" w:w="4320"/>
          </w:tcPr>
          <w:p>
            <w:pPr>
              <w:jc w:val="left"/>
            </w:pPr>
            <w:r/>
            <w:r>
              <w:rPr>
                <w:rFonts w:ascii="Arial" w:hAnsi="Arial"/>
                <w:b w:val="0"/>
                <w:sz w:val="18"/>
              </w:rPr>
              <w:t>CC&amp;Rs prohibit multifamily AND</w:t>
              <w:br/>
              <w:t>cannot be amended</w:t>
            </w:r>
          </w:p>
        </w:tc>
        <w:tc>
          <w:tcPr>
            <w:tcW w:type="dxa" w:w="2160"/>
          </w:tcPr>
          <w:p>
            <w:pPr>
              <w:jc w:val="left"/>
            </w:pPr>
            <w:r/>
            <w:r>
              <w:rPr>
                <w:rFonts w:ascii="Arial" w:hAnsi="Arial"/>
                <w:b/>
                <w:color w:val="CC0000"/>
                <w:sz w:val="18"/>
              </w:rPr>
              <w:t>KILL</w:t>
            </w:r>
          </w:p>
        </w:tc>
        <w:tc>
          <w:tcPr>
            <w:tcW w:type="dxa" w:w="3600"/>
          </w:tcPr>
          <w:p>
            <w:pPr>
              <w:jc w:val="left"/>
            </w:pPr>
            <w:r/>
            <w:r>
              <w:rPr>
                <w:rFonts w:ascii="Arial" w:hAnsi="Arial"/>
                <w:b w:val="0"/>
                <w:sz w:val="18"/>
              </w:rPr>
              <w:t>Sell parcel or hold for alternative use</w:t>
            </w:r>
          </w:p>
        </w:tc>
      </w:tr>
      <w:tr>
        <w:tc>
          <w:tcPr>
            <w:tcW w:type="dxa" w:w="4320"/>
            <w:shd w:fill="F2F2F2" w:val="clear"/>
          </w:tcPr>
          <w:p>
            <w:pPr>
              <w:jc w:val="left"/>
            </w:pPr>
            <w:r/>
            <w:r>
              <w:rPr>
                <w:rFonts w:ascii="Arial" w:hAnsi="Arial"/>
                <w:b w:val="0"/>
                <w:sz w:val="18"/>
              </w:rPr>
              <w:t>CC&amp;Rs allow multifamily BUT</w:t>
              <w:br/>
              <w:t>PUD ordinance restricts density</w:t>
            </w:r>
          </w:p>
        </w:tc>
        <w:tc>
          <w:tcPr>
            <w:tcW w:type="dxa" w:w="2160"/>
            <w:shd w:fill="F2F2F2" w:val="clear"/>
          </w:tcPr>
          <w:p>
            <w:pPr>
              <w:jc w:val="left"/>
            </w:pPr>
            <w:r/>
            <w:r>
              <w:rPr>
                <w:rFonts w:ascii="Arial" w:hAnsi="Arial"/>
                <w:b/>
                <w:color w:val="FF8C00"/>
                <w:sz w:val="18"/>
              </w:rPr>
              <w:t>REASSESS</w:t>
            </w:r>
          </w:p>
        </w:tc>
        <w:tc>
          <w:tcPr>
            <w:tcW w:type="dxa" w:w="3600"/>
            <w:shd w:fill="F2F2F2" w:val="clear"/>
          </w:tcPr>
          <w:p>
            <w:pPr>
              <w:jc w:val="left"/>
            </w:pPr>
            <w:r/>
            <w:r>
              <w:rPr>
                <w:rFonts w:ascii="Arial" w:hAnsi="Arial"/>
                <w:b w:val="0"/>
                <w:sz w:val="18"/>
              </w:rPr>
              <w:t>Evaluate SF/townhome development</w:t>
            </w:r>
          </w:p>
        </w:tc>
      </w:tr>
      <w:tr>
        <w:tc>
          <w:tcPr>
            <w:tcW w:type="dxa" w:w="4320"/>
          </w:tcPr>
          <w:p>
            <w:pPr>
              <w:jc w:val="left"/>
            </w:pPr>
            <w:r/>
            <w:r>
              <w:rPr>
                <w:rFonts w:ascii="Arial" w:hAnsi="Arial"/>
                <w:b w:val="0"/>
                <w:sz w:val="18"/>
              </w:rPr>
              <w:t>CC&amp;Rs and PUD both allow</w:t>
              <w:br/>
              <w:t>multifamily</w:t>
            </w:r>
          </w:p>
        </w:tc>
        <w:tc>
          <w:tcPr>
            <w:tcW w:type="dxa" w:w="2160"/>
          </w:tcPr>
          <w:p>
            <w:pPr>
              <w:jc w:val="left"/>
            </w:pPr>
            <w:r/>
            <w:r>
              <w:rPr>
                <w:rFonts w:ascii="Arial" w:hAnsi="Arial"/>
                <w:b/>
                <w:color w:val="B8860B"/>
                <w:sz w:val="18"/>
              </w:rPr>
              <w:t>PROCEED</w:t>
              <w:br/>
              <w:t>WITH CAUTION</w:t>
            </w:r>
          </w:p>
        </w:tc>
        <w:tc>
          <w:tcPr>
            <w:tcW w:type="dxa" w:w="3600"/>
          </w:tcPr>
          <w:p>
            <w:pPr>
              <w:jc w:val="left"/>
            </w:pPr>
            <w:r/>
            <w:r>
              <w:rPr>
                <w:rFonts w:ascii="Arial" w:hAnsi="Arial"/>
                <w:b w:val="0"/>
                <w:sz w:val="18"/>
              </w:rPr>
              <w:t>Commission wetland delineation</w:t>
              <w:br/>
              <w:t>and flood study ($8K-$33K)</w:t>
            </w:r>
          </w:p>
        </w:tc>
      </w:tr>
    </w:tbl>
    <w:p>
      <w:r>
        <w:rPr>
          <w:rFonts w:ascii="Arial" w:hAnsi="Arial"/>
          <w:b w:val="0"/>
          <w:i w:val="0"/>
          <w:sz w:val="20"/>
        </w:rPr>
      </w:r>
    </w:p>
    <w:p>
      <w:r>
        <w:rPr>
          <w:rFonts w:ascii="Arial" w:hAnsi="Arial"/>
          <w:b/>
          <w:i w:val="0"/>
          <w:sz w:val="20"/>
        </w:rPr>
        <w:t>Alternative Strategies</w:t>
      </w:r>
    </w:p>
    <w:p>
      <w:pPr>
        <w:pStyle w:val="ListBullet"/>
      </w:pPr>
      <w:r>
        <w:rPr>
          <w:rFonts w:ascii="Arial" w:hAnsi="Arial"/>
          <w:b/>
          <w:sz w:val="20"/>
        </w:rPr>
        <w:t>Land Bank:</w:t>
      </w:r>
      <w:r>
        <w:rPr>
          <w:rFonts w:ascii="Arial" w:hAnsi="Arial"/>
          <w:sz w:val="20"/>
        </w:rPr>
        <w:t xml:space="preserve"> Hold parcel for 10+ years until wellhead easement is vacated, then reassess with full parcel available. Low carrying cost (vacant land taxes ~$1,000/year).</w:t>
      </w:r>
    </w:p>
    <w:p>
      <w:pPr>
        <w:pStyle w:val="ListBullet"/>
      </w:pPr>
      <w:r>
        <w:rPr>
          <w:rFonts w:ascii="Arial" w:hAnsi="Arial"/>
          <w:b/>
          <w:sz w:val="20"/>
        </w:rPr>
        <w:t>Single-Family/Townhome:</w:t>
      </w:r>
      <w:r>
        <w:rPr>
          <w:rFonts w:ascii="Arial" w:hAnsi="Arial"/>
          <w:sz w:val="20"/>
        </w:rPr>
        <w:t xml:space="preserve"> Develop 2-4 townhome units consistent with HOA character. Lower environmental impact, may avoid some constraints. Requires CC&amp;R and PUD confirmation.</w:t>
      </w:r>
    </w:p>
    <w:p>
      <w:pPr>
        <w:pStyle w:val="ListBullet"/>
      </w:pPr>
      <w:r>
        <w:rPr>
          <w:rFonts w:ascii="Arial" w:hAnsi="Arial"/>
          <w:b/>
          <w:sz w:val="20"/>
        </w:rPr>
        <w:t>Sell:</w:t>
      </w:r>
      <w:r>
        <w:rPr>
          <w:rFonts w:ascii="Arial" w:hAnsi="Arial"/>
          <w:sz w:val="20"/>
        </w:rPr>
        <w:t xml:space="preserve"> List parcel at $55K-$75K. Two consecutive tax deed sales suggest limited buyer interest, but land values in Palm Bay have been rising.</w:t>
      </w:r>
    </w:p>
    <w:p>
      <w:pPr>
        <w:pStyle w:val="ListBullet"/>
      </w:pPr>
      <w:r>
        <w:rPr>
          <w:rFonts w:ascii="Arial" w:hAnsi="Arial"/>
          <w:b/>
          <w:sz w:val="20"/>
        </w:rPr>
        <w:t>Conservation Easement:</w:t>
      </w:r>
      <w:r>
        <w:rPr>
          <w:rFonts w:ascii="Arial" w:hAnsi="Arial"/>
          <w:sz w:val="20"/>
        </w:rPr>
        <w:t xml:space="preserve"> Donate development rights for tax deduction. Parcel is within NWI wetland polygon — may qualify for conservation programs.</w:t>
      </w:r>
    </w:p>
    <w:p>
      <w:r>
        <w:rPr>
          <w:rFonts w:ascii="Arial" w:hAnsi="Arial"/>
          <w:b w:val="0"/>
          <w:i w:val="0"/>
          <w:sz w:val="20"/>
        </w:rPr>
      </w:r>
    </w:p>
    <w:p>
      <w:r>
        <w:rPr>
          <w:rFonts w:ascii="Arial" w:hAnsi="Arial"/>
          <w:b w:val="0"/>
          <w:i w:val="0"/>
          <w:sz w:val="20"/>
        </w:rPr>
      </w:r>
    </w:p>
    <w:p>
      <w:pPr>
        <w:jc w:val="center"/>
      </w:pPr>
      <w:r>
        <w:rPr>
          <w:rFonts w:ascii="Arial" w:hAnsi="Arial"/>
          <w:b/>
          <w:sz w:val="16"/>
        </w:rPr>
        <w:t>DISCLAIMER</w:t>
      </w:r>
    </w:p>
    <w:p>
      <w:pPr>
        <w:jc w:val="both"/>
      </w:pPr>
      <w:r>
        <w:rPr>
          <w:rFonts w:ascii="Arial" w:hAnsi="Arial"/>
          <w:i/>
          <w:sz w:val="14"/>
        </w:rPr>
        <w:t>This report is prepared for informational purposes only and does not constitute legal, engineering, or financial advice. All cost estimates are approximate and based on publicly available data as of February 2026. Actual costs, timelines, and regulatory requirements may differ significantly. Professional consultants (licensed engineer, surveyor, environmental scientist, real estate attorney) should be engaged before making any development decisions. The analysis relies on data from BCPAO, Palm Bay GIS, FEMA NFHL, NWI, SJRWMD, and other public sources. Data accuracy is not guaranteed. CC&amp;R and PUD ordinance review by qualified legal counsel is essential before proceeding.</w:t>
      </w:r>
    </w:p>
    <w:sectPr w:rsidR="00FC693F" w:rsidRPr="0006063C" w:rsidSect="00034616">
      <w:type w:val="continuous"/>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