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SPD FEASIBILITY REPORT</w:t>
      </w:r>
    </w:p>
    <w:p>
      <w:pPr>
        <w:spacing w:after="360"/>
        <w:jc w:val="center"/>
      </w:pPr>
      <w:r>
        <w:rPr>
          <w:color w:val="444444"/>
          <w:sz w:val="28"/>
          <w:szCs w:val="28"/>
        </w:rPr>
        <w:t xml:space="preserve">Bliss Palm Bay | 2165 Sandy Pines Dr NE</w:t>
      </w:r>
    </w:p>
    <w:p>
      <w:pPr>
        <w:pStyle w:val="Heading1"/>
      </w:pPr>
      <w:r>
        <w:t xml:space="preserve">Executive Summary</w:t>
      </w:r>
    </w:p>
    <w:p>
      <w:r>
        <w:rPr>
          <w:b/>
          <w:bCs/>
        </w:rPr>
        <w:t xml:space="preserve">Project: </w:t>
      </w:r>
      <w:r>
        <w:t xml:space="preserve">Bliss Palm Bay (SPD-2025-001)</w:t>
      </w:r>
    </w:p>
    <w:p>
      <w:r>
        <w:rPr>
          <w:b/>
          <w:bCs/>
        </w:rPr>
        <w:t xml:space="preserve">Address: </w:t>
      </w:r>
      <w:r>
        <w:t xml:space="preserve">2165 Sandy Pines Dr NE, Palm Bay, FL 32907</w:t>
      </w:r>
    </w:p>
    <w:p>
      <w:r>
        <w:rPr>
          <w:b/>
          <w:bCs/>
        </w:rPr>
        <w:t xml:space="preserve">Account ID: </w:t>
      </w:r>
      <w:r>
        <w:t xml:space="preserve">2835546 | Legal: S27, T28S, R37E</w:t>
      </w:r>
    </w:p>
    <w:p>
      <w:r>
        <w:rPr>
          <w:b/>
          <w:bCs/>
        </w:rPr>
        <w:t xml:space="preserve">Parcel Area: </w:t>
      </w:r>
      <w:r>
        <w:t xml:space="preserve">46,394 SF (1.065 acres)</w:t>
      </w:r>
    </w:p>
    <w:p>
      <w:r>
        <w:rPr>
          <w:b/>
          <w:bCs/>
        </w:rPr>
        <w:t xml:space="preserve">Proposed Use: </w:t>
      </w:r>
      <w:r>
        <w:t xml:space="preserve">20-unit, 3-story multifamily (RM-20 zoning required)</w:t>
      </w:r>
    </w:p>
    <w:p>
      <w:pPr>
        <w:spacing w:before="200"/>
      </w:pPr>
      <w:r>
        <w:rPr>
          <w:b/>
          <w:bCs/>
          <w:sz w:val="26"/>
          <w:szCs w:val="26"/>
        </w:rPr>
        <w:t xml:space="preserve">ML FEASIBILITY SCORE: </w:t>
      </w:r>
      <w:r>
        <w:rPr>
          <w:b/>
          <w:bCs/>
          <w:color w:val="d97706"/>
          <w:sz w:val="26"/>
          <w:szCs w:val="26"/>
        </w:rPr>
        <w:t xml:space="preserve">63.3 / 100 (Grade: C+)</w:t>
      </w:r>
    </w:p>
    <w:p>
      <w:r>
        <w:rPr>
          <w:b/>
          <w:bCs/>
        </w:rPr>
        <w:t xml:space="preserve">Recommendation: </w:t>
      </w:r>
      <w:r>
        <w:rPr>
          <w:b/>
          <w:bCs/>
          <w:color w:val="d97706"/>
        </w:rPr>
        <w:t xml:space="preserve">PROCEED WITH CAUTION</w:t>
      </w:r>
      <w:r>
        <w:t xml:space="preserve"> - Marginally feasible. Success depends on rezoning approval and cost control.</w:t>
      </w:r>
    </w:p>
    <w:p>
      <w:pPr>
        <w:pStyle w:val="Heading1"/>
      </w:pPr>
      <w:r>
        <w:t xml:space="preserve">Zoning Analysis (Enhanced)</w:t>
      </w:r>
    </w:p>
    <w:p>
      <w:r>
        <w:rPr>
          <w:b/>
          <w:bCs/>
        </w:rPr>
        <w:t xml:space="preserve">Code Reference: </w:t>
      </w:r>
      <w:r>
        <w:t xml:space="preserve">Palm Bay Code of Ordinances, Title XVII, Chapter 185</w:t>
      </w:r>
    </w:p>
    <w:p>
      <w:pPr>
        <w:spacing w:before="120"/>
      </w:pPr>
      <w:r>
        <w:rPr>
          <w:b/>
          <w:bCs/>
        </w:rPr>
        <w:t xml:space="preserve">Current Likely Zoning: </w:t>
      </w:r>
      <w:r>
        <w:t xml:space="preserve">RM-10 (10 units/acre max)</w:t>
      </w:r>
    </w:p>
    <w:p>
      <w:r>
        <w:rPr>
          <w:b/>
          <w:bCs/>
        </w:rPr>
        <w:t xml:space="preserve">Required Zoning: </w:t>
      </w:r>
      <w:r>
        <w:rPr>
          <w:b/>
          <w:bCs/>
          <w:color w:val="dc2626"/>
        </w:rPr>
        <w:t xml:space="preserve">RM-20</w:t>
      </w:r>
      <w:r>
        <w:t xml:space="preserve"> (20 units/acre max) - </w:t>
      </w:r>
      <w:r>
        <w:rPr>
          <w:b/>
          <w:bCs/>
          <w:color w:val="dc2626"/>
        </w:rPr>
        <w:t xml:space="preserve">REZONING REQUIRED</w:t>
      </w:r>
    </w:p>
    <w:p>
      <w:pPr>
        <w:pStyle w:val="Heading2"/>
        <w:spacing w:before="200"/>
      </w:pPr>
      <w:r>
        <w:t xml:space="preserve">Zoning District Comparison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600"/>
        <w:gridCol w:w="26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RM-10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RM-15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RM-20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Max Density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 units/ac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15 units/ac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 units/ac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Site Capacity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 units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15 units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21 units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Max Height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35 ft (3 story)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40 ft (4 story)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cap*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Front Setback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25 ft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25 ft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 ft or height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Side Setback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15 ft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15 ft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 ft or height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Rear Setback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25 ft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25 ft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 ft or height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Assessment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Insufficient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Marginal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pPr>
              <w:jc w:val="center"/>
            </w:pPr>
            <w:r>
              <w:rPr>
                <w:b/>
                <w:bCs/>
                <w:color w:val="047857"/>
                <w:sz w:val="20"/>
                <w:szCs w:val="20"/>
              </w:rPr>
              <w:t xml:space="preserve">OPTIMAL</w:t>
            </w:r>
          </w:p>
        </w:tc>
      </w:tr>
    </w:tbl>
    <w:p>
      <w:pPr>
        <w:pStyle w:val="Heading2"/>
      </w:pPr>
      <w:r>
        <w:t xml:space="preserve">Setback Analysis (RM-20)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Front: </w:t>
      </w:r>
      <w:r>
        <w:t xml:space="preserve">25 ft OR building height (whichever greater)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Side Interior: </w:t>
      </w:r>
      <w:r>
        <w:t xml:space="preserve">15 ft OR building height (whichever greater)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Rear: </w:t>
      </w:r>
      <w:r>
        <w:t xml:space="preserve">25 ft OR building height (whichever greater)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Building Separation: </w:t>
      </w:r>
      <w:r>
        <w:t xml:space="preserve">30 ft between buildings on same property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Parking Setback: </w:t>
      </w:r>
      <w:r>
        <w:t xml:space="preserve">10 ft from all lot lines</w:t>
      </w:r>
    </w:p>
    <w:p>
      <w:pPr>
        <w:spacing w:before="120"/>
      </w:pPr>
      <w:r>
        <w:rPr>
          <w:b/>
          <w:bCs/>
          <w:color w:val="dc2626"/>
        </w:rPr>
        <w:t xml:space="preserve">CRITICAL: </w:t>
      </w:r>
      <w:r>
        <w:t xml:space="preserve">At 35 ft height (3 stories), standard setbacks apply. At 45 ft (4 stories), ALL setbacks increase to 45 ft, reducing buildable area significantly.</w:t>
      </w:r>
    </w:p>
    <w:p>
      <w:pPr>
        <w:pStyle w:val="Heading2"/>
      </w:pPr>
      <w:r>
        <w:t xml:space="preserve">Rezoning Process (RM-10 → RM-20)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1. </w:t>
      </w:r>
      <w:r>
        <w:t xml:space="preserve">Pre-Application Meeting with Land Development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2. </w:t>
      </w:r>
      <w:r>
        <w:t xml:space="preserve">Submit rezoning application via iMS Portal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3. </w:t>
      </w:r>
      <w:r>
        <w:t xml:space="preserve">Staff review (30-60 days)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4. </w:t>
      </w:r>
      <w:r>
        <w:t xml:space="preserve">Planning &amp; Zoning Board public hearing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5. </w:t>
      </w:r>
      <w:r>
        <w:t xml:space="preserve">City Council public hearing (2 readings)</w:t>
      </w:r>
    </w:p>
    <w:p>
      <w:pPr>
        <w:spacing w:before="120"/>
      </w:pPr>
      <w:r>
        <w:rPr>
          <w:b/>
          <w:bCs/>
        </w:rPr>
        <w:t xml:space="preserve">Timeline: </w:t>
      </w:r>
      <w:r>
        <w:t xml:space="preserve">3-6 months | </w:t>
      </w:r>
      <w:r>
        <w:rPr>
          <w:b/>
          <w:bCs/>
        </w:rPr>
        <w:t xml:space="preserve">Cost: </w:t>
      </w:r>
      <w:r>
        <w:t xml:space="preserve">$2,800-7,000</w:t>
      </w:r>
    </w:p>
    <w:p>
      <w:pPr>
        <w:pStyle w:val="Heading2"/>
      </w:pPr>
      <w:r>
        <w:t xml:space="preserve">Recommended Development</w:t>
      </w:r>
    </w:p>
    <w:p>
      <w:r>
        <w:rPr>
          <w:b/>
          <w:bCs/>
        </w:rPr>
        <w:t xml:space="preserve">Optimal: </w:t>
      </w:r>
      <w:r>
        <w:t xml:space="preserve">20 units, 3-story building at 35 ft height</w:t>
      </w:r>
    </w:p>
    <w:p>
      <w:r>
        <w:rPr>
          <w:b/>
          <w:bCs/>
        </w:rPr>
        <w:t xml:space="preserve">Rationale: </w:t>
      </w:r>
      <w:r>
        <w:t xml:space="preserve">Staying at 35 ft keeps standard setbacks (25/15/25), maximizing buildable envelope. Going to 45 ft would require 45 ft setbacks on all sides.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rPr>
                <w:b/>
                <w:bCs/>
                <w:sz w:val="20"/>
                <w:szCs w:val="20"/>
              </w:rPr>
              <w:t xml:space="preserve">Unit 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Count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Avg SF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Est. Rent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Bedroom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$1,400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Bedroom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$1,650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Bedroom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1,200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$1,900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900 avg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$32,000/mo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12-Stage Pipeline Summary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18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Discovery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pPr>
              <w:jc w:val="center"/>
            </w:pPr>
            <w:r>
              <w:rPr>
                <w:color w:val="047857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Survey Analysis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pPr>
              <w:jc w:val="center"/>
            </w:pPr>
            <w:r>
              <w:rPr>
                <w:color w:val="047857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Zoning Analysis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pPr>
              <w:jc w:val="center"/>
            </w:pPr>
            <w:r>
              <w:rPr>
                <w:color w:val="047857"/>
                <w:sz w:val="20"/>
                <w:szCs w:val="20"/>
              </w:rPr>
              <w:t xml:space="preserve">✓ ENHANCED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Site Constraints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pPr>
              <w:jc w:val="center"/>
            </w:pPr>
            <w:r>
              <w:rPr>
                <w:color w:val="047857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Parking Analysis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pPr>
              <w:jc w:val="center"/>
            </w:pPr>
            <w:r>
              <w:rPr>
                <w:color w:val="047857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Traffic Impact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pPr>
              <w:jc w:val="center"/>
            </w:pPr>
            <w:r>
              <w:rPr>
                <w:color w:val="047857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Utilities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pPr>
              <w:jc w:val="center"/>
            </w:pPr>
            <w:r>
              <w:rPr>
                <w:color w:val="047857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Stormwater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pPr>
              <w:jc w:val="center"/>
            </w:pPr>
            <w:r>
              <w:rPr>
                <w:color w:val="047857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Site Layout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pPr>
              <w:jc w:val="center"/>
            </w:pPr>
            <w:r>
              <w:rPr>
                <w:color w:val="047857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ML Feasibility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pPr>
              <w:jc w:val="center"/>
            </w:pPr>
            <w:r>
              <w:rPr>
                <w:color w:val="047857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pPr>
              <w:jc w:val="center"/>
            </w:pPr>
            <w:r>
              <w:rPr>
                <w:color w:val="047857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Archive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pPr>
              <w:jc w:val="center"/>
            </w:pPr>
            <w:r>
              <w:rPr>
                <w:color w:val="047857"/>
                <w:sz w:val="20"/>
                <w:szCs w:val="20"/>
              </w:rPr>
              <w:t xml:space="preserve">✓</w:t>
            </w:r>
          </w:p>
        </w:tc>
      </w:tr>
    </w:tbl>
    <w:p>
      <w:pPr>
        <w:pStyle w:val="Heading1"/>
      </w:pPr>
      <w:r>
        <w:t xml:space="preserve">Site Constraints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Scrub-Jay: </w:t>
      </w:r>
      <w:r>
        <w:t xml:space="preserve">Palm Bay 30-year ITP - $125/quarter acre fee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Gopher Tortoise: </w:t>
      </w:r>
      <w:r>
        <w:t xml:space="preserve">Survey required - HIGH risk in sandy soils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Flood Zone: </w:t>
      </w:r>
      <w:r>
        <w:t xml:space="preserve">Verify on Palm Bay GIS before proceeding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Stormwater: </w:t>
      </w:r>
      <w:r>
        <w:t xml:space="preserve">SJRWMD ERP permit required (project &gt;1 acre)</w:t>
      </w:r>
    </w:p>
    <w:p>
      <w:pPr>
        <w:pStyle w:val="Heading1"/>
      </w:pPr>
      <w:r>
        <w:t xml:space="preserve">Financial Analysis (20-Unit Scenario)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000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Total Development Cost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$4,100,000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Cost Per Unit (20 units)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$205,000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Gross Potential Rent (Annual)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$384,000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Net Operating Income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$249,600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Cap Rate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6.09%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Stabilized Value (6% Cap)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$4,160,000</w:t>
            </w:r>
          </w:p>
        </w:tc>
      </w:tr>
    </w:tbl>
    <w:p>
      <w:pPr>
        <w:pStyle w:val="Heading1"/>
      </w:pPr>
      <w:r>
        <w:t xml:space="preserve">Priority Action Items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dc2626"/>
        </w:rPr>
        <w:t xml:space="preserve">CRITICAL: </w:t>
      </w:r>
      <w:r>
        <w:t xml:space="preserve">Verify current zoning on Palm Bay GIS map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HIGH: </w:t>
      </w:r>
      <w:r>
        <w:t xml:space="preserve">Schedule pre-app meeting - Land Development (321) 733-3042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HIGH: </w:t>
      </w:r>
      <w:r>
        <w:t xml:space="preserve">Conduct gopher tortoise survey before site clearing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HIGH: </w:t>
      </w:r>
      <w:r>
        <w:t xml:space="preserve">Prepare rezoning application materials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MEDIUM: </w:t>
      </w:r>
      <w:r>
        <w:t xml:space="preserve">Get GC construction estimates (2-3 contractors)</w:t>
      </w:r>
    </w:p>
    <w:p>
      <w:pPr>
        <w:pStyle w:val="Heading1"/>
      </w:pPr>
      <w:r>
        <w:t xml:space="preserve">Key Contacts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2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Palm Bay Land Development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(321) 733-3042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Rezoning, Site Plan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Palm Bay Building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(321) 953-8924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Permits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Palm Bay Utilities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(321) 952-3420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Water/Sewer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FWC (Gopher Tortoise)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(321) 383-5535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Wildlife Survey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SJRWMD (Stormwater)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(386) 329-4500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ERP Permit</w:t>
            </w:r>
          </w:p>
        </w:tc>
      </w:tr>
    </w:tbl>
    <w:p>
      <w:pPr>
        <w:spacing w:before="480"/>
        <w:jc w:val="center"/>
      </w:pPr>
      <w:r>
        <w:rPr>
          <w:i/>
          <w:iCs/>
          <w:color w:val="666666"/>
        </w:rPr>
        <w:t xml:space="preserve">Report Generated: December 9, 2025 | SPD Agentic AI Pipeline v2.0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Ariel Shapira, Solo Founder | Everest Capital USA | </w:t>
    </w:r>
    <w:r>
      <w:rPr>
        <w:color w:val="666666"/>
        <w:sz w:val="16"/>
        <w:szCs w:val="16"/>
      </w:rPr>
      <w:t xml:space="preserve">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SPD Site Plan Development | Bliss Palm Bay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40"/>
      <w:jc w:val="center"/>
    </w:pPr>
    <w:rPr>
      <w:rFonts w:ascii="Arial" w:cs="Arial" w:eastAsia="Arial" w:hAnsi="Arial"/>
      <w:b/>
      <w:bCs/>
      <w:color w:val="1a365d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a365d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d5a8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2025-12-09T05:36:10.410Z</dcterms:created>
  <dcterms:modified xsi:type="dcterms:W3CDTF">2025-12-09T05:36:10.411Z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