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Sandy Pines Pre-App Analysis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2165 Sandy Pines Dr NE, Palm Bay, FL | Project SPD-2025-001</w:t>
      </w:r>
    </w:p>
    <w:p>
      <w:pPr>
        <w:pStyle w:val="Critical"/>
      </w:pPr>
      <w:r>
        <w:t xml:space="preserve">⚠️ CRITICAL CONSTRAINT DISCOVERED</w:t>
      </w:r>
    </w:p>
    <w:p>
      <w:pPr>
        <w:shd w:fill="FADBD8" w:val="clear"/>
        <w:spacing w:after="200"/>
      </w:pPr>
      <w:r>
        <w:rPr>
          <w:sz w:val="22"/>
          <w:szCs w:val="22"/>
        </w:rPr>
        <w:t xml:space="preserve">200-foot wellhead protection easement CANNOT be vacated for approximately 10 years (per Tim Roberts, Palm Bay Utilities, September 11, 2025). This fundamentally changes the development analysis.</w:t>
      </w:r>
    </w:p>
    <w:p>
      <w:pPr>
        <w:pStyle w:val="Heading1"/>
      </w:pPr>
      <w:r>
        <w:t xml:space="preserve">1. Property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2165 Sandy Pines Dr NE, Palm Bay, FL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Parcel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2835546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Legal 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S½ of NE¼, Section 17, T28S, R37E, Brevard County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Total Parcel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46,394 SF (1.065 acres)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Survey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August 26, 2024 (Kevin A. Smith, PSM)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r>
              <w:rPr>
                <w:b/>
                <w:bCs/>
                <w:color w:val="C0392B"/>
              </w:rPr>
              <w:t xml:space="preserve">EASEMENT ENCUMBRANCE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r>
              <w:rPr>
                <w:color w:val="C0392B"/>
              </w:rPr>
              <w:t xml:space="preserve">200-foot radius wellhead protection zone (City of Palm Bay supply well)</w:t>
            </w:r>
          </w:p>
        </w:tc>
      </w:tr>
    </w:tbl>
    <w:p>
      <w:pPr>
        <w:pStyle w:val="Heading1"/>
      </w:pPr>
      <w:r>
        <w:t xml:space="preserve">2. Wellhead Protection Constraint Analysis</w:t>
      </w:r>
    </w:p>
    <w:p>
      <w:pPr>
        <w:pStyle w:val="Heading2"/>
      </w:pPr>
      <w:r>
        <w:t xml:space="preserve">2.1 City Response Summary</w:t>
      </w:r>
    </w:p>
    <w:p>
      <w:r>
        <w:rPr>
          <w:i/>
          <w:iCs/>
        </w:rPr>
        <w:t xml:space="preserve">Tim Roberts, Palm Bay Utilities (September 11, 2025):</w:t>
      </w:r>
    </w:p>
    <w:p>
      <w:pPr>
        <w:pStyle w:val="ListParagraph"/>
        <w:numPr>
          <w:ilvl w:val="0"/>
          <w:numId w:val="2"/>
        </w:numPr>
      </w:pPr>
      <w:r>
        <w:t xml:space="preserve">Radial easement is required for wellhead protection per Florida DEP regulations</w:t>
      </w:r>
    </w:p>
    <w:p>
      <w:pPr>
        <w:pStyle w:val="ListParagraph"/>
        <w:numPr>
          <w:ilvl w:val="0"/>
          <w:numId w:val="2"/>
        </w:numPr>
      </w:pPr>
      <w:r>
        <w:t xml:space="preserve">Cannot be vacated until abandonment of the supply well</w:t>
      </w:r>
    </w:p>
    <w:p>
      <w:pPr>
        <w:pStyle w:val="ListParagraph"/>
        <w:numPr>
          <w:ilvl w:val="0"/>
          <w:numId w:val="2"/>
        </w:numPr>
      </w:pPr>
      <w:r>
        <w:t xml:space="preserve">City is designing new reverse osmosis water treatment plant using Floridan Aquifer wells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timeline: Approximately 10 years</w:t>
      </w:r>
    </w:p>
    <w:p>
      <w:pPr>
        <w:pStyle w:val="Heading2"/>
      </w:pPr>
      <w:r>
        <w:t xml:space="preserve">2.2 Florida DEP Requirements</w:t>
      </w:r>
    </w:p>
    <w:p>
      <w:r>
        <w:t xml:space="preserve">Per Florida Administrative Code Chapter 62-521 and local implementation:</w:t>
      </w:r>
    </w:p>
    <w:p>
      <w:pPr>
        <w:pStyle w:val="ListParagraph"/>
        <w:numPr>
          <w:ilvl w:val="0"/>
          <w:numId w:val="2"/>
        </w:numPr>
      </w:pPr>
      <w:r>
        <w:t xml:space="preserve">Standard wellhead protection area: 500-foot radius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Inner zone (200 feet): </w:t>
      </w:r>
      <w:r>
        <w:t xml:space="preserve">Only well-associated activities, existing SFR, open space, recreation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392B"/>
        </w:rPr>
        <w:t xml:space="preserve">PROHIBITED in 200-foot zone: </w:t>
      </w:r>
      <w:r>
        <w:t xml:space="preserve">New impervious surfaces, new construction, regulated substances</w:t>
      </w:r>
    </w:p>
    <w:p>
      <w:pPr>
        <w:pStyle w:val="Heading2"/>
      </w:pPr>
      <w:r>
        <w:t xml:space="preserve">2.3 Buildable Area Calculation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Parcel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46,394 SF (1.065 ac)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200-ft Radius Circle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125,664 SF (2.88 ac)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Est. Easement Overlap (per survey)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~20,000-25,000 SF (TBD exact)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</w:rPr>
              <w:t xml:space="preserve">Est. Buildable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</w:rPr>
              <w:t xml:space="preserve">~21,000-26,000 SF (0.48-0.60 ac)</w:t>
            </w:r>
          </w:p>
        </w:tc>
      </w:tr>
    </w:tbl>
    <w:p>
      <w:pPr>
        <w:spacing w:before="100"/>
      </w:pPr>
      <w:r>
        <w:rPr>
          <w:i/>
          <w:iCs/>
          <w:color w:val="2874A6"/>
        </w:rPr>
        <w:t xml:space="preserve">ACTION: Request exact easement boundaries from city at pre-app meeting</w:t>
      </w:r>
    </w:p>
    <w:p>
      <w:pPr>
        <w:pStyle w:val="Heading1"/>
      </w:pPr>
      <w:r>
        <w:t xml:space="preserve">3. Zoning Analysis</w:t>
      </w:r>
    </w:p>
    <w:p>
      <w:pPr>
        <w:pStyle w:val="Heading2"/>
      </w:pPr>
      <w:r>
        <w:t xml:space="preserve">3.1 Current vs. Required Zoning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Zoning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Without Easement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With Easement Constraint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RM-10 (Current)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units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~5-6 units max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RM-15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 units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~7-9 units max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RM-20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 units 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~10-12 units max</w:t>
            </w:r>
          </w:p>
        </w:tc>
      </w:tr>
    </w:tbl>
    <w:p>
      <w:pPr>
        <w:spacing w:before="100"/>
      </w:pPr>
      <w:r>
        <w:rPr>
          <w:i/>
          <w:iCs/>
        </w:rPr>
        <w:t xml:space="preserve">Note: Oct 2024 citywide rezoning converted some RM-10 to RM-15. Verify current zoning on Palm Bay GIS.</w:t>
      </w:r>
    </w:p>
    <w:p>
      <w:pPr>
        <w:pStyle w:val="Heading1"/>
      </w:pPr>
      <w:r>
        <w:t xml:space="preserve">4. Highest and Best Use Analysis</w:t>
      </w:r>
    </w:p>
    <w:p>
      <w:pPr>
        <w:pStyle w:val="Heading2"/>
      </w:pPr>
      <w:r>
        <w:t xml:space="preserve">4.1 Scenario Comparison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b/>
          <w:bCs/>
        </w:rPr>
        <w:t xml:space="preserve">Wait 10 Years (Full Development)</w:t>
      </w:r>
    </w:p>
    <w:p>
      <w:pPr>
        <w:pStyle w:val="ListParagraph"/>
        <w:numPr>
          <w:ilvl w:val="0"/>
          <w:numId w:val="2"/>
        </w:numPr>
      </w:pPr>
      <w:r>
        <w:t xml:space="preserve">Max units: 20-21 (RM-20 rezoning)</w:t>
      </w:r>
    </w:p>
    <w:p>
      <w:pPr>
        <w:pStyle w:val="ListParagraph"/>
        <w:numPr>
          <w:ilvl w:val="0"/>
          <w:numId w:val="2"/>
        </w:numPr>
      </w:pPr>
      <w:r>
        <w:t xml:space="preserve">Pro: Maximum density and value</w:t>
      </w:r>
    </w:p>
    <w:p>
      <w:pPr>
        <w:pStyle w:val="ListParagraph"/>
        <w:numPr>
          <w:ilvl w:val="0"/>
          <w:numId w:val="2"/>
        </w:numPr>
      </w:pPr>
      <w:r>
        <w:t xml:space="preserve">Con: 10-year hold with carrying costs, market uncertainty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b/>
          <w:bCs/>
        </w:rPr>
        <w:t xml:space="preserve">Develop Now Outside Easement</w:t>
      </w:r>
    </w:p>
    <w:p>
      <w:pPr>
        <w:pStyle w:val="ListParagraph"/>
        <w:numPr>
          <w:ilvl w:val="0"/>
          <w:numId w:val="2"/>
        </w:numPr>
      </w:pPr>
      <w:r>
        <w:t xml:space="preserve">Max units: ~6-8 (depending on exact buildable area)</w:t>
      </w:r>
    </w:p>
    <w:p>
      <w:pPr>
        <w:pStyle w:val="ListParagraph"/>
        <w:numPr>
          <w:ilvl w:val="0"/>
          <w:numId w:val="2"/>
        </w:numPr>
      </w:pPr>
      <w:r>
        <w:t xml:space="preserve">Building type: Duplex/triplex or small 6-8 unit building</w:t>
      </w:r>
    </w:p>
    <w:p>
      <w:pPr>
        <w:pStyle w:val="ListParagraph"/>
        <w:numPr>
          <w:ilvl w:val="0"/>
          <w:numId w:val="2"/>
        </w:numPr>
      </w:pPr>
      <w:r>
        <w:t xml:space="preserve">Pro: Immediate cash flow, use easement for parking/landscaping</w:t>
      </w:r>
    </w:p>
    <w:p>
      <w:pPr>
        <w:pStyle w:val="ListParagraph"/>
        <w:numPr>
          <w:ilvl w:val="0"/>
          <w:numId w:val="2"/>
        </w:numPr>
      </w:pPr>
      <w:r>
        <w:t xml:space="preserve">Con: Suboptimal use, limits future expansion options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b/>
          <w:bCs/>
        </w:rPr>
        <w:t xml:space="preserve">Phased Development with Future Rights</w:t>
      </w:r>
    </w:p>
    <w:p>
      <w:pPr>
        <w:pStyle w:val="ListParagraph"/>
        <w:numPr>
          <w:ilvl w:val="0"/>
          <w:numId w:val="2"/>
        </w:numPr>
      </w:pPr>
      <w:r>
        <w:t xml:space="preserve">Phase 1 NOW: 6-8 units on buildable area</w:t>
      </w:r>
    </w:p>
    <w:p>
      <w:pPr>
        <w:pStyle w:val="ListParagraph"/>
        <w:numPr>
          <w:ilvl w:val="0"/>
          <w:numId w:val="2"/>
        </w:numPr>
      </w:pPr>
      <w:r>
        <w:t xml:space="preserve">Phase 2 (10 years): Add 8-12 units when easement vacated</w:t>
      </w:r>
    </w:p>
    <w:p>
      <w:pPr>
        <w:pStyle w:val="ListParagraph"/>
        <w:numPr>
          <w:ilvl w:val="0"/>
          <w:numId w:val="2"/>
        </w:numPr>
      </w:pPr>
      <w:r>
        <w:t xml:space="preserve">Pro: Generates income now, preserves upside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392B"/>
        </w:rPr>
        <w:t xml:space="preserve">CRITICAL: Requires development agreement guaranteeing future expansion rights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b/>
          <w:bCs/>
        </w:rPr>
        <w:t xml:space="preserve">Single-Family Residential</w:t>
      </w:r>
    </w:p>
    <w:p>
      <w:pPr>
        <w:pStyle w:val="ListParagraph"/>
        <w:numPr>
          <w:ilvl w:val="0"/>
          <w:numId w:val="2"/>
        </w:numPr>
      </w:pPr>
      <w:r>
        <w:t xml:space="preserve">Build 2-3 single-family homes (no rezoning needed)</w:t>
      </w:r>
    </w:p>
    <w:p>
      <w:pPr>
        <w:pStyle w:val="ListParagraph"/>
        <w:numPr>
          <w:ilvl w:val="0"/>
          <w:numId w:val="2"/>
        </w:numPr>
      </w:pPr>
      <w:r>
        <w:t xml:space="preserve">Pro: Simplest entitlement, lowest risk</w:t>
      </w:r>
    </w:p>
    <w:p>
      <w:pPr>
        <w:pStyle w:val="ListParagraph"/>
        <w:numPr>
          <w:ilvl w:val="0"/>
          <w:numId w:val="2"/>
        </w:numPr>
      </w:pPr>
      <w:r>
        <w:t xml:space="preserve">Con: Lowest return on investment</w:t>
      </w:r>
    </w:p>
    <w:p>
      <w:pPr>
        <w:pStyle w:val="ListParagraph"/>
        <w:numPr>
          <w:ilvl w:val="0"/>
          <w:numId w:val="3"/>
        </w:numPr>
        <w:spacing w:before="200"/>
      </w:pPr>
      <w:r>
        <w:rPr>
          <w:b/>
          <w:bCs/>
        </w:rPr>
        <w:t xml:space="preserve">Sell/Dispose of Property</w:t>
      </w:r>
    </w:p>
    <w:p>
      <w:pPr>
        <w:pStyle w:val="ListParagraph"/>
        <w:numPr>
          <w:ilvl w:val="0"/>
          <w:numId w:val="2"/>
        </w:numPr>
      </w:pPr>
      <w:r>
        <w:t xml:space="preserve">Market to buyer willing to hold for 10 years</w:t>
      </w:r>
    </w:p>
    <w:p>
      <w:pPr>
        <w:pStyle w:val="ListParagraph"/>
        <w:numPr>
          <w:ilvl w:val="0"/>
          <w:numId w:val="2"/>
        </w:numPr>
      </w:pPr>
      <w:r>
        <w:t xml:space="preserve">Disclose easement constraint (material fact)</w:t>
      </w:r>
    </w:p>
    <w:p>
      <w:pPr>
        <w:pStyle w:val="Heading1"/>
      </w:pPr>
      <w:r>
        <w:t xml:space="preserve">5. Questions for Pre-Application Meeting</w:t>
      </w:r>
    </w:p>
    <w:p>
      <w:pPr>
        <w:pStyle w:val="ListParagraph"/>
        <w:numPr>
          <w:ilvl w:val="0"/>
          <w:numId w:val="4"/>
        </w:numPr>
      </w:pPr>
      <w:r>
        <w:t xml:space="preserve">What is the EXACT acreage inside vs. outside the wellhead easement?</w:t>
      </w:r>
    </w:p>
    <w:p>
      <w:pPr>
        <w:pStyle w:val="ListParagraph"/>
        <w:numPr>
          <w:ilvl w:val="0"/>
          <w:numId w:val="4"/>
        </w:numPr>
      </w:pPr>
      <w:r>
        <w:t xml:space="preserve">What uses ARE permitted within the 200-foot zone? (Parking? Stormwater? Landscaping?)</w:t>
      </w:r>
    </w:p>
    <w:p>
      <w:pPr>
        <w:pStyle w:val="ListParagraph"/>
        <w:numPr>
          <w:ilvl w:val="0"/>
          <w:numId w:val="4"/>
        </w:numPr>
      </w:pPr>
      <w:r>
        <w:t xml:space="preserve">What is the maximum unit count achievable on the non-encumbered portion under current zoning?</w:t>
      </w:r>
    </w:p>
    <w:p>
      <w:pPr>
        <w:pStyle w:val="ListParagraph"/>
        <w:numPr>
          <w:ilvl w:val="0"/>
          <w:numId w:val="4"/>
        </w:numPr>
      </w:pPr>
      <w:r>
        <w:t xml:space="preserve">Was this parcel included in the October 2024 citywide RM-10 to RM-15 rezoning?</w:t>
      </w:r>
    </w:p>
    <w:p>
      <w:pPr>
        <w:pStyle w:val="ListParagraph"/>
        <w:numPr>
          <w:ilvl w:val="0"/>
          <w:numId w:val="4"/>
        </w:numPr>
      </w:pPr>
      <w:r>
        <w:t xml:space="preserve">Is the 10-year timeline documented in any Capital Improvement Plan we can reference?</w:t>
      </w:r>
    </w:p>
    <w:p>
      <w:pPr>
        <w:pStyle w:val="ListParagraph"/>
        <w:numPr>
          <w:ilvl w:val="0"/>
          <w:numId w:val="4"/>
        </w:numPr>
      </w:pPr>
      <w:r>
        <w:t xml:space="preserve">Would the city support a Development Agreement guaranteeing future expansion rights?</w:t>
      </w:r>
    </w:p>
    <w:p>
      <w:pPr>
        <w:pStyle w:val="ListParagraph"/>
        <w:numPr>
          <w:ilvl w:val="0"/>
          <w:numId w:val="4"/>
        </w:numPr>
      </w:pPr>
      <w:r>
        <w:t xml:space="preserve">Are there density transfer mechanisms in Palm Bay code that could compensate for the easement?</w:t>
      </w:r>
    </w:p>
    <w:p>
      <w:pPr>
        <w:pStyle w:val="ListParagraph"/>
        <w:numPr>
          <w:ilvl w:val="0"/>
          <w:numId w:val="4"/>
        </w:numPr>
      </w:pPr>
      <w:r>
        <w:t xml:space="preserve">What setbacks apply from the easement boundary vs. property boundary?</w:t>
      </w:r>
    </w:p>
    <w:p>
      <w:pPr>
        <w:pStyle w:val="ListParagraph"/>
        <w:numPr>
          <w:ilvl w:val="0"/>
          <w:numId w:val="4"/>
        </w:numPr>
      </w:pPr>
      <w:r>
        <w:t xml:space="preserve">Can we get pre-approval for a phased site plan showing future development areas?</w:t>
      </w:r>
    </w:p>
    <w:p>
      <w:pPr>
        <w:pStyle w:val="ListParagraph"/>
        <w:numPr>
          <w:ilvl w:val="0"/>
          <w:numId w:val="4"/>
        </w:numPr>
      </w:pPr>
      <w:r>
        <w:t xml:space="preserve">Who at Florida DEP can we contact regarding any variance possibilities?</w:t>
      </w:r>
    </w:p>
    <w:p>
      <w:pPr>
        <w:pStyle w:val="Heading1"/>
      </w:pPr>
      <w:r>
        <w:t xml:space="preserve">6. Recommended Strategy</w:t>
      </w:r>
    </w:p>
    <w:p>
      <w:pPr>
        <w:shd w:fill="D5F5E3" w:val="clear"/>
        <w:spacing w:after="200"/>
      </w:pPr>
      <w:r>
        <w:rPr>
          <w:b/>
          <w:bCs/>
          <w:sz w:val="24"/>
          <w:szCs w:val="24"/>
        </w:rPr>
        <w:t xml:space="preserve">RECOMMENDED: Option C - Phased Development with Future Rights Agreement</w:t>
      </w:r>
    </w:p>
    <w:p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5"/>
        </w:numPr>
      </w:pPr>
      <w:r>
        <w:t xml:space="preserve">Generates income immediately rather than holding vacant land for 10 years</w:t>
      </w:r>
    </w:p>
    <w:p>
      <w:pPr>
        <w:pStyle w:val="ListParagraph"/>
        <w:numPr>
          <w:ilvl w:val="0"/>
          <w:numId w:val="5"/>
        </w:numPr>
      </w:pPr>
      <w:r>
        <w:t xml:space="preserve">Preserves upside when easement is eventually vacated</w:t>
      </w:r>
    </w:p>
    <w:p>
      <w:pPr>
        <w:pStyle w:val="ListParagraph"/>
        <w:numPr>
          <w:ilvl w:val="0"/>
          <w:numId w:val="5"/>
        </w:numPr>
      </w:pPr>
      <w:r>
        <w:t xml:space="preserve">Development Agreement provides legal protection for future expansion</w:t>
      </w:r>
    </w:p>
    <w:p>
      <w:pPr>
        <w:pStyle w:val="ListParagraph"/>
        <w:numPr>
          <w:ilvl w:val="0"/>
          <w:numId w:val="5"/>
        </w:numPr>
      </w:pPr>
      <w:r>
        <w:t xml:space="preserve">Easement area can still be used for parking, landscaping, stormwater (confirm at meeting)</w:t>
      </w:r>
    </w:p>
    <w:p>
      <w:pPr>
        <w:spacing w:before="200"/>
      </w:pPr>
      <w:r>
        <w:rPr>
          <w:b/>
          <w:bCs/>
        </w:rPr>
        <w:t xml:space="preserve">Next Steps:</w:t>
      </w:r>
    </w:p>
    <w:p>
      <w:pPr>
        <w:pStyle w:val="ListParagraph"/>
        <w:numPr>
          <w:ilvl w:val="0"/>
          <w:numId w:val="2"/>
        </w:numPr>
      </w:pPr>
      <w:r>
        <w:t xml:space="preserve">Confirm buildable area and permitted uses in easement at today's meeting</w:t>
      </w:r>
    </w:p>
    <w:p>
      <w:pPr>
        <w:pStyle w:val="ListParagraph"/>
        <w:numPr>
          <w:ilvl w:val="0"/>
          <w:numId w:val="2"/>
        </w:numPr>
      </w:pPr>
      <w:r>
        <w:t xml:space="preserve">Request preliminary feedback on phased development concept</w:t>
      </w:r>
    </w:p>
    <w:p>
      <w:pPr>
        <w:pStyle w:val="ListParagraph"/>
        <w:numPr>
          <w:ilvl w:val="0"/>
          <w:numId w:val="2"/>
        </w:numPr>
      </w:pPr>
      <w:r>
        <w:t xml:space="preserve">Ask about Development Agreement process and city appetite</w:t>
      </w:r>
    </w:p>
    <w:p>
      <w:pPr>
        <w:pStyle w:val="ListParagraph"/>
        <w:numPr>
          <w:ilvl w:val="0"/>
          <w:numId w:val="2"/>
        </w:numPr>
      </w:pPr>
      <w:r>
        <w:t xml:space="preserve">Get written confirmation of well abandonment timeline</w:t>
      </w:r>
    </w:p>
    <w:p>
      <w:pPr>
        <w:spacing w:before="400"/>
        <w:jc w:val="center"/>
      </w:pPr>
      <w:r>
        <w:rPr>
          <w:color w:val="666666"/>
          <w:sz w:val="18"/>
          <w:szCs w:val="18"/>
        </w:rPr>
        <w:t xml:space="preserve">Prepared by Everest Capital USA | SPD Pipeline v1.0 | December 16, 2025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Pre-Application Meeting Briefing | December 16,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EVEREST CAPITAL USA | SPD Pipeline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4F7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874A6"/>
      <w:sz w:val="24"/>
      <w:szCs w:val="24"/>
    </w:rPr>
  </w:style>
  <w:style w:type="paragraph" w:styleId="Critical">
    <w:name w:val="Critical"/>
    <w:basedOn w:val="Normal"/>
    <w:pPr>
      <w:spacing w:before="100" w:after="100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2025-12-16T14:28:29.503Z</dcterms:created>
  <dcterms:modified xsi:type="dcterms:W3CDTF">2025-12-16T14:28:29.504Z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