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Integrated Technical Design Report</w:t>
      </w:r>
    </w:p>
    <w:p>
      <w:pPr>
        <w:pStyle w:val="Subtitle"/>
      </w:pPr>
      <w:r>
        <w:t xml:space="preserve">Phases A-D accelerated technical concept masterpack</w:t>
      </w:r>
    </w:p>
    <w:p>
      <w:pPr>
        <w:pStyle w:val="Heading1"/>
      </w:pPr>
      <w:r>
        <w:t xml:space="preserve">Moskee Haci Bayram - BB35 Pilot 1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The accelerated masterpack executes phases A-D in one transaction and creates revision C02. All four internal gates pass. The package remains a technical concept because six professional evidence packages are not yet accepted.</w:t>
      </w:r>
    </w:p>
    <w:p>
      <w:pPr>
        <w:pStyle w:val="Normal"/>
      </w:pPr>
      <w:r>
        <w:t xml:space="preserve">TECHNICAL CONCEPT - NOT FOR PERMIT SUBMISSION OR EXECUTION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Phase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Name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Gate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Deliverables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Architectural Technical Design and Detailing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PASSED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9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B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Multidisciplinary Engineering Integration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PASSED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9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Technical Coordination and Clash Control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PASSED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7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Permit Tender Execution Concept Issue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PASSED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9</w:t>
            </w:r>
          </w:p>
        </w:tc>
      </w:tr>
    </w:tbl>
    <w:p>
      <w:pPr>
        <w:pStyle w:val="Heading1"/>
      </w:pPr>
      <w:r>
        <w:t xml:space="preserve">2. Design basis</w:t>
      </w:r>
    </w:p>
    <w:p>
      <w:pPr>
        <w:pStyle w:val="Normal"/>
      </w:pPr>
      <w:r>
        <w:t xml:space="preserve">Extension: 7 x 10 m, two storeys, 140 m2 gross. Central model: 299 objects. Parking basis: 225 project-leader-confirmed spaces. REQ-107 remains closed.</w:t>
      </w:r>
    </w:p>
    <w:p>
      <w:pPr>
        <w:pStyle w:val="Heading1"/>
      </w:pPr>
      <w:r>
        <w:t xml:space="preserve">3. Phase A - architectural technical design</w:t>
      </w:r>
    </w:p>
    <w:p>
      <w:pPr>
        <w:pStyle w:val="Normal"/>
      </w:pPr>
      <w:r>
        <w:t xml:space="preserve">Component assemblies, technical details, accessibility, building physics, doors, windows and room finishes are coordinated as a concept design freeze.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Register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Count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Assemblies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16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Detail sheets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Doors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Windows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8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Rooms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12</w:t>
            </w:r>
          </w:p>
        </w:tc>
      </w:tr>
    </w:tbl>
    <w:p>
      <w:pPr>
        <w:pStyle w:val="Heading1"/>
      </w:pPr>
      <w:r>
        <w:t xml:space="preserve">4. Phase B - multidisciplinary engineering</w:t>
      </w:r>
    </w:p>
    <w:p>
      <w:pPr>
        <w:pStyle w:val="Normal"/>
      </w:pPr>
      <w:r>
        <w:t xml:space="preserve">Structural, foundation, MEP, drainage, fire, site/parking and AERIUS interfaces are integrated. Specialist calculations and declarations remain mandatory.</w:t>
      </w:r>
    </w:p>
    <w:p>
      <w:pPr>
        <w:pStyle w:val="Heading1"/>
      </w:pPr>
      <w:r>
        <w:t xml:space="preserve">5. Phase C - technical coordination</w:t>
      </w:r>
    </w:p>
    <w:p>
      <w:pPr>
        <w:pStyle w:val="Normal"/>
      </w:pPr>
      <w:r>
        <w:t xml:space="preserve">Twenty-four clash checks, twenty discipline interfaces and twenty-four coordination checks are recorded. Concept conflicts are resolved or retained as explicit conditions.</w:t>
      </w:r>
    </w:p>
    <w:p>
      <w:pPr>
        <w:pStyle w:val="Heading1"/>
      </w:pPr>
      <w:r>
        <w:t xml:space="preserve">6. Phase D - issue preparation</w:t>
      </w:r>
    </w:p>
    <w:p>
      <w:pPr>
        <w:pStyle w:val="Normal"/>
      </w:pPr>
      <w:r>
        <w:t xml:space="preserve">Permit, tender and execution concept indexes are generated, but none are released as final.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Issue type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Items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Ready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Permit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24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No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Tender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No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Execution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No</w:t>
            </w:r>
          </w:p>
        </w:tc>
      </w:tr>
    </w:tbl>
    <w:p>
      <w:pPr>
        <w:pStyle w:val="Heading1"/>
      </w:pPr>
      <w:r>
        <w:t xml:space="preserve">7. Evidence boundary</w:t>
      </w:r>
    </w:p>
    <w:p>
      <w:pPr>
        <w:pStyle w:val="Normal"/>
      </w:pPr>
      <w:r>
        <w:t xml:space="preserve">REQ-102, REQ-103, REQ-104, REQ-105, REQ-106 and REQ-108 must be replaced and accepted before revision C03 may be considered permit-ready.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Integrated Technical Design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