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Parking concept report</w:t>
      </w:r>
    </w:p>
    <w:p>
      <w:pPr>
        <w:pStyle w:val="Subtitle"/>
      </w:pPr>
      <w:r>
        <w:t xml:space="preserve">Capacity basis, synthetic demand and measurement programme</w:t>
      </w:r>
    </w:p>
    <w:p>
      <w:pPr>
        <w:pStyle w:val="Heading1"/>
      </w:pPr>
      <w:r>
        <w:t xml:space="preserve">Uitbreiding moskee Haci Bayram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Capacity basis</w:t>
      </w:r>
    </w:p>
    <w:p>
      <w:pPr>
        <w:pStyle w:val="Normal"/>
      </w:pPr>
      <w:r>
        <w:t xml:space="preserve">The project leader confirmed 225 public spaces in the direct surroundings. The previous 300-space hypothesis is superseded. Field verification is still required.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3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P-A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Directe parkeerzone noord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70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P-B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Sportcluster west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50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P-C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Openbare stroken zuid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P-D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Voorzieningencluster oost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35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P-E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Overige directe omgeving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30</w:t>
            </w:r>
          </w:p>
        </w:tc>
      </w:tr>
    </w:tbl>
    <w:p>
      <w:pPr>
        <w:pStyle w:val="Heading1"/>
      </w:pPr>
      <w:r>
        <w:t xml:space="preserve">2. Synthetic demand test</w:t>
      </w:r>
    </w:p>
    <w:p>
      <w:pPr>
        <w:pStyle w:val="Normal"/>
      </w:pPr>
      <w:r>
        <w:t xml:space="preserve">The production run carries forward the simulation demand values solely to test the reporting chain.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3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4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Regular future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55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25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Friday future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25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55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30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Special peak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55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15</w:t>
            </w:r>
          </w:p>
        </w:tc>
      </w:tr>
    </w:tbl>
    <w:p>
      <w:pPr>
        <w:pStyle w:val="Heading1"/>
      </w:pPr>
      <w:r>
        <w:t xml:space="preserve">3. Measurement programme</w:t>
      </w:r>
    </w:p>
    <w:p>
      <w:pPr>
        <w:pStyle w:val="Normal"/>
      </w:pPr>
      <w:r>
        <w:t xml:space="preserve">Five field moments must be counted, including Friday prayer. Raw count sheets, mapped public/private restrictions, photographs and a professional parking balance are required.</w:t>
      </w:r>
    </w:p>
    <w:p>
      <w:pPr>
        <w:pStyle w:val="Heading1"/>
      </w:pPr>
      <w:r>
        <w:t xml:space="preserve">4. Status</w:t>
      </w:r>
    </w:p>
    <w:p>
      <w:pPr>
        <w:pStyle w:val="Normal"/>
      </w:pPr>
      <w:r>
        <w:t xml:space="preserve">The 225-space basis is project-leader-confirmed and not yet professionally verified. No definitive parking conclusion is made.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Parking concept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