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2-2019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9:30am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Big 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 Fak St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HMu1102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Description of this service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