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time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this is a clinic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dep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add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15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desc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