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pBdr>
        <w:shd w:fill="C9A84C" w:val="clear"/>
        <w:spacing w:after="0" w:before="0"/>
        <w:ind w:left="0"/>
      </w:pPr>
      <w:r>
        <w:rPr>
          <w:rFonts w:ascii="Arial" w:cs="Arial" w:eastAsia="Arial" w:hAnsi="Arial"/>
          <w:b/>
          <w:bCs/>
          <w:color w:val="1F3864"/>
          <w:sz w:val="16"/>
          <w:szCs w:val="16"/>
        </w:rPr>
        <w:t xml:space="preserve">PRAETO GROUP HOLDINGS  ·  FSP 1457  ·  CONFIDENTIAL</w:t>
      </w:r>
    </w:p>
    <w:p>
      <w:pPr>
        <w:shd w:fill="C9A84C" w:val="clear"/>
        <w:spacing w:after="0" w:before="0"/>
      </w:pPr>
      <w:r>
        <w:rPr>
          <w:sz w:val="20"/>
          <w:szCs w:val="20"/>
        </w:rPr>
        <w:t xml:space="preserve"> </w:t>
      </w:r>
    </w:p>
    <w:p>
      <w:pPr>
        <w:spacing w:after="0" w:before="0" w:line="960"/>
      </w:pPr>
      <w:r>
        <w:t xml:space="preserve"/>
      </w:r>
    </w:p>
    <w:p>
      <w:pPr>
        <w:spacing w:after="120" w:before="0"/>
      </w:pPr>
      <w:r>
        <w:rPr>
          <w:rFonts w:ascii="Arial" w:cs="Arial" w:eastAsia="Arial" w:hAnsi="Arial"/>
          <w:b/>
          <w:bCs/>
          <w:color w:val="C9A84C"/>
          <w:spacing w:val="200"/>
          <w:sz w:val="28"/>
          <w:szCs w:val="28"/>
        </w:rPr>
        <w:t xml:space="preserve">BUSINESS PLAN</w:t>
      </w:r>
    </w:p>
    <w:p>
      <w:pPr>
        <w:spacing w:after="160" w:before="0"/>
      </w:pPr>
      <w:r>
        <w:rPr>
          <w:rFonts w:ascii="Arial" w:cs="Arial" w:eastAsia="Arial" w:hAnsi="Arial"/>
          <w:b/>
          <w:bCs/>
          <w:color w:val="1F3864"/>
          <w:sz w:val="72"/>
          <w:szCs w:val="72"/>
        </w:rPr>
        <w:t xml:space="preserve">Praeto Compliance Club</w:t>
      </w:r>
    </w:p>
    <w:p>
      <w:pPr>
        <w:spacing w:after="480" w:before="0"/>
      </w:pPr>
      <w:r>
        <w:rPr>
          <w:rFonts w:ascii="Arial" w:cs="Arial" w:eastAsia="Arial" w:hAnsi="Arial"/>
          <w:b w:val="false"/>
          <w:bCs w:val="false"/>
          <w:color w:val="6B7280"/>
          <w:sz w:val="32"/>
          <w:szCs w:val="32"/>
        </w:rPr>
        <w:t xml:space="preserve">South Africa's Premier FSP Compliance Membership Platform</w:t>
      </w:r>
    </w:p>
    <w:p>
      <w:pPr>
        <w:pBdr>
          <w:bottom w:val="single" w:color="C9A84C" w:sz="16" w:space="1"/>
        </w:pBdr>
        <w:spacing w:after="120" w:before="0"/>
      </w:pPr>
      <w:r>
        <w:t xml:space="preserve"/>
      </w:r>
    </w:p>
    <w:p>
      <w:pPr>
        <w:spacing w:after="0" w:before="0" w:line="4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c>
          <w:tcPr>
            <w:tcW w:type="dxa" w:w="2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Prepared by</w:t>
            </w:r>
          </w:p>
        </w:tc>
        <w:tc>
          <w:tcPr>
            <w:tcW w:type="dxa" w:w="5026"/>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Berkeley Eldred Pretorius</w:t>
            </w:r>
          </w:p>
        </w:tc>
        <w:tc>
          <w:tcPr>
            <w:tcW w:type="dxa" w:w="2000"/>
            <w:tcBorders>
              <w:top w:val="none" w:color="FFFFFF" w:sz="0"/>
              <w:left w:val="none" w:color="FFFFFF" w:sz="0"/>
              <w:bottom w:val="none" w:color="FFFFFF" w:sz="0"/>
              <w:right w:val="none" w:color="FFFFFF" w:sz="0"/>
            </w:tcBorders>
          </w:tcPr>
          <w:p/>
        </w:tc>
      </w:tr>
      <w:tr>
        <w:tc>
          <w:tcPr>
            <w:tcW w:type="dxa" w:w="2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Position</w:t>
            </w:r>
          </w:p>
        </w:tc>
        <w:tc>
          <w:tcPr>
            <w:tcW w:type="dxa" w:w="5026"/>
            <w:tcBorders>
              <w:top w:val="none" w:color="FFFFFF" w:sz="0"/>
              <w:left w:val="none" w:color="FFFFFF" w:sz="0"/>
              <w:bottom w:val="none" w:color="FFFFFF" w:sz="0"/>
              <w:right w:val="none" w:color="FFFFFF" w:sz="0"/>
            </w:tcBorders>
          </w:tcPr>
          <w:p>
            <w:r>
              <w:rPr>
                <w:rFonts w:ascii="Arial" w:cs="Arial" w:eastAsia="Arial" w:hAnsi="Arial"/>
                <w:color w:val="111827"/>
                <w:sz w:val="22"/>
                <w:szCs w:val="22"/>
              </w:rPr>
              <w:t xml:space="preserve">Founder &amp; CEO, Praeto Group Holdings</w:t>
            </w:r>
          </w:p>
        </w:tc>
        <w:tc>
          <w:tcPr>
            <w:tcW w:type="dxa" w:w="2000"/>
            <w:tcBorders>
              <w:top w:val="none" w:color="FFFFFF" w:sz="0"/>
              <w:left w:val="none" w:color="FFFFFF" w:sz="0"/>
              <w:bottom w:val="none" w:color="FFFFFF" w:sz="0"/>
              <w:right w:val="none" w:color="FFFFFF" w:sz="0"/>
            </w:tcBorders>
          </w:tcPr>
          <w:p/>
        </w:tc>
      </w:tr>
      <w:tr>
        <w:tc>
          <w:tcPr>
            <w:tcW w:type="dxa" w:w="2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Qualifications</w:t>
            </w:r>
          </w:p>
        </w:tc>
        <w:tc>
          <w:tcPr>
            <w:tcW w:type="dxa" w:w="5026"/>
            <w:tcBorders>
              <w:top w:val="none" w:color="FFFFFF" w:sz="0"/>
              <w:left w:val="none" w:color="FFFFFF" w:sz="0"/>
              <w:bottom w:val="none" w:color="FFFFFF" w:sz="0"/>
              <w:right w:val="none" w:color="FFFFFF" w:sz="0"/>
            </w:tcBorders>
          </w:tcPr>
          <w:p>
            <w:r>
              <w:rPr>
                <w:rFonts w:ascii="Arial" w:cs="Arial" w:eastAsia="Arial" w:hAnsi="Arial"/>
                <w:color w:val="111827"/>
                <w:sz w:val="22"/>
                <w:szCs w:val="22"/>
              </w:rPr>
              <w:t xml:space="preserve">RE1 (KI)  ·  RE5  ·  Reg. Assessor  ·  Reg. Moderator  ·  SDF  ·  NCRDC</w:t>
            </w:r>
          </w:p>
        </w:tc>
        <w:tc>
          <w:tcPr>
            <w:tcW w:type="dxa" w:w="2000"/>
            <w:tcBorders>
              <w:top w:val="none" w:color="FFFFFF" w:sz="0"/>
              <w:left w:val="none" w:color="FFFFFF" w:sz="0"/>
              <w:bottom w:val="none" w:color="FFFFFF" w:sz="0"/>
              <w:right w:val="none" w:color="FFFFFF" w:sz="0"/>
            </w:tcBorders>
          </w:tcPr>
          <w:p/>
        </w:tc>
      </w:tr>
      <w:tr>
        <w:tc>
          <w:tcPr>
            <w:tcW w:type="dxa" w:w="2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FSP Licence</w:t>
            </w:r>
          </w:p>
        </w:tc>
        <w:tc>
          <w:tcPr>
            <w:tcW w:type="dxa" w:w="5026"/>
            <w:tcBorders>
              <w:top w:val="none" w:color="FFFFFF" w:sz="0"/>
              <w:left w:val="none" w:color="FFFFFF" w:sz="0"/>
              <w:bottom w:val="none" w:color="FFFFFF" w:sz="0"/>
              <w:right w:val="none" w:color="FFFFFF" w:sz="0"/>
            </w:tcBorders>
          </w:tcPr>
          <w:p>
            <w:r>
              <w:rPr>
                <w:rFonts w:ascii="Arial" w:cs="Arial" w:eastAsia="Arial" w:hAnsi="Arial"/>
                <w:color w:val="111827"/>
                <w:sz w:val="22"/>
                <w:szCs w:val="22"/>
              </w:rPr>
              <w:t xml:space="preserve">FSCA Category I  ·  FSP 1457</w:t>
            </w:r>
          </w:p>
        </w:tc>
        <w:tc>
          <w:tcPr>
            <w:tcW w:type="dxa" w:w="2000"/>
            <w:tcBorders>
              <w:top w:val="none" w:color="FFFFFF" w:sz="0"/>
              <w:left w:val="none" w:color="FFFFFF" w:sz="0"/>
              <w:bottom w:val="none" w:color="FFFFFF" w:sz="0"/>
              <w:right w:val="none" w:color="FFFFFF" w:sz="0"/>
            </w:tcBorders>
          </w:tcPr>
          <w:p/>
        </w:tc>
      </w:tr>
      <w:tr>
        <w:tc>
          <w:tcPr>
            <w:tcW w:type="dxa" w:w="2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Date</w:t>
            </w:r>
          </w:p>
        </w:tc>
        <w:tc>
          <w:tcPr>
            <w:tcW w:type="dxa" w:w="5026"/>
            <w:tcBorders>
              <w:top w:val="none" w:color="FFFFFF" w:sz="0"/>
              <w:left w:val="none" w:color="FFFFFF" w:sz="0"/>
              <w:bottom w:val="none" w:color="FFFFFF" w:sz="0"/>
              <w:right w:val="none" w:color="FFFFFF" w:sz="0"/>
            </w:tcBorders>
          </w:tcPr>
          <w:p>
            <w:r>
              <w:rPr>
                <w:rFonts w:ascii="Arial" w:cs="Arial" w:eastAsia="Arial" w:hAnsi="Arial"/>
                <w:color w:val="111827"/>
                <w:sz w:val="22"/>
                <w:szCs w:val="22"/>
              </w:rPr>
              <w:t xml:space="preserve">June 2026</w:t>
            </w:r>
          </w:p>
        </w:tc>
        <w:tc>
          <w:tcPr>
            <w:tcW w:type="dxa" w:w="2000"/>
            <w:tcBorders>
              <w:top w:val="none" w:color="FFFFFF" w:sz="0"/>
              <w:left w:val="none" w:color="FFFFFF" w:sz="0"/>
              <w:bottom w:val="none" w:color="FFFFFF" w:sz="0"/>
              <w:right w:val="none" w:color="FFFFFF" w:sz="0"/>
            </w:tcBorders>
          </w:tcPr>
          <w:p/>
        </w:tc>
      </w:tr>
      <w:tr>
        <w:tc>
          <w:tcPr>
            <w:tcW w:type="dxa" w:w="2000"/>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Website</w:t>
            </w:r>
          </w:p>
        </w:tc>
        <w:tc>
          <w:tcPr>
            <w:tcW w:type="dxa" w:w="5026"/>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www.praeto.co.za</w:t>
            </w:r>
          </w:p>
        </w:tc>
        <w:tc>
          <w:tcPr>
            <w:tcW w:type="dxa" w:w="2000"/>
            <w:tcBorders>
              <w:top w:val="none" w:color="FFFFFF" w:sz="0"/>
              <w:left w:val="none" w:color="FFFFFF" w:sz="0"/>
              <w:bottom w:val="none" w:color="FFFFFF" w:sz="0"/>
              <w:right w:val="none" w:color="FFFFFF" w:sz="0"/>
            </w:tcBorders>
          </w:tcPr>
          <w:p/>
        </w:tc>
      </w:tr>
    </w:tbl>
    <w:p>
      <w:pPr>
        <w:spacing w:after="0" w:before="0" w:line="960"/>
      </w:pPr>
      <w:r>
        <w:t xml:space="preserve"/>
      </w:r>
    </w:p>
    <w:p>
      <w:pPr>
        <w:pBdr>
          <w:bottom w:val="single" w:color="1F3864" w:sz="8" w:space="1"/>
        </w:pBdr>
        <w:spacing w:after="120" w:before="0"/>
      </w:pPr>
      <w:r>
        <w:t xml:space="preserve"/>
      </w:r>
    </w:p>
    <w:p>
      <w:pPr>
        <w:spacing w:after="0" w:before="0" w:line="240"/>
      </w:pPr>
      <w:r>
        <w:t xml:space="preserve"/>
      </w:r>
    </w:p>
    <w:p>
      <w:pPr>
        <w:spacing w:after="0" w:before="0"/>
      </w:pPr>
      <w:r>
        <w:rPr>
          <w:rFonts w:ascii="Arial" w:cs="Arial" w:eastAsia="Arial" w:hAnsi="Arial"/>
          <w:i/>
          <w:iCs/>
          <w:color w:val="6B7280"/>
          <w:sz w:val="16"/>
          <w:szCs w:val="16"/>
        </w:rPr>
        <w:t xml:space="preserve">CONFIDENTIAL — This document is prepared exclusively for Berkeley Pretorius and the Praeto Group Holdings board. It contains commercially sensitive financial projections and strategic planning information. Do not distribute without written authorisation.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A84C" w:sz="12" w:space="4"/>
        </w:pBdr>
        <w:spacing w:after="120" w:before="480"/>
      </w:pPr>
      <w:r>
        <w:rPr>
          <w:rFonts w:ascii="Arial" w:cs="Arial" w:eastAsia="Arial" w:hAnsi="Arial"/>
          <w:b/>
          <w:bCs/>
          <w:color w:val="1F3864"/>
          <w:sz w:val="36"/>
          <w:szCs w:val="36"/>
        </w:rPr>
        <w:t xml:space="preserve">1.  Executive Summary</w:t>
      </w:r>
    </w:p>
    <w:p>
      <w:pPr>
        <w:spacing w:after="120" w:before="0" w:line="276"/>
        <w:jc w:val="both"/>
      </w:pPr>
      <w:r>
        <w:rPr>
          <w:rFonts w:ascii="Arial" w:cs="Arial" w:eastAsia="Arial" w:hAnsi="Arial"/>
          <w:color w:val="111827"/>
          <w:sz w:val="22"/>
          <w:szCs w:val="22"/>
        </w:rPr>
        <w:t xml:space="preserve">Praeto Compliance Club is a recurring-revenue, membership-based compliance platform for South African Category I Financial Services Providers (FSPs). Operated under FSCA FSP Licence 1457 by Berkeley Eldred Pretorius — a Key Individual with RE1, RE5, Registered Assessor, Registered Moderator, SDF, and NCRDC credentials — the platform converts 38 years of active regulatory practice into a scalable subscription product that addresses the most urgent unmet need in the South African advisory market: affordable, expert, always-current compliance infrastructure.</w:t>
      </w:r>
    </w:p>
    <w:p>
      <w:pPr>
        <w:spacing w:after="120" w:before="0" w:line="276"/>
        <w:jc w:val="both"/>
      </w:pPr>
      <w:r>
        <w:rPr>
          <w:rFonts w:ascii="Arial" w:cs="Arial" w:eastAsia="Arial" w:hAnsi="Arial"/>
          <w:color w:val="111827"/>
          <w:sz w:val="22"/>
          <w:szCs w:val="22"/>
        </w:rPr>
        <w:t xml:space="preserve">The timing is deliberate. The FSCA sanctioned 47 FSPs in the first half of 2026 alone, imposing aggregate penalties exceeding R22.9 million — an average of R487,000 per enforcement action. The primary failure cited in 63% of cases was inadequate AML/CFT programme documentation. A Praeto Compliance Club Foundation membership costs R2,500 per month. The proposition requires no explanation.</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2"/>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bCs/>
                <w:color w:val="1F3864"/>
                <w:sz w:val="18"/>
                <w:szCs w:val="18"/>
              </w:rPr>
              <w:t xml:space="preserve">THE CORE OPPORTUNITY</w:t>
            </w:r>
          </w:p>
        </w:tc>
      </w:tr>
      <w:tr>
        <w:tc>
          <w:tcPr>
            <w:tcW w:type="dxa" w:w="9026"/>
            <w:tcBorders>
              <w:top w:val="none" w:color="FFFFFF" w:sz="0"/>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val="false"/>
                <w:bCs w:val="false"/>
                <w:color w:val="111827"/>
                <w:sz w:val="22"/>
                <w:szCs w:val="22"/>
              </w:rPr>
              <w:t xml:space="preserve">8,400+ active Category I FSPs registered with the FSCA nationally. Capturing 3.3% market share (280 members) at blended pricing delivers R1.5 million in Monthly Recurring Revenue — R18 million annually. This exceeds USD $1,000,000 at current ZAR/USD exchange rates.</w:t>
            </w:r>
          </w:p>
        </w:tc>
      </w:tr>
      <w:tr>
        <w:tc>
          <w:tcPr>
            <w:tcW w:type="dxa" w:w="9026"/>
            <w:tcBorders>
              <w:top w:val="none" w:color="FFFFFF" w:sz="0"/>
              <w:left w:val="single" w:color="C9A84C" w:sz="12"/>
              <w:bottom w:val="single" w:color="C9A84C" w:sz="12"/>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bCs/>
                <w:color w:val="1F3864"/>
                <w:sz w:val="22"/>
                <w:szCs w:val="22"/>
              </w:rPr>
              <w:t xml:space="preserve">Zero new capital required. Zero new credentials needed. Everything is already in place.</w:t>
            </w:r>
          </w:p>
        </w:tc>
      </w:tr>
    </w:tbl>
    <w:p>
      <w:pPr>
        <w:spacing w:after="0" w:before="0" w:line="240"/>
      </w:pPr>
      <w:r>
        <w:t xml:space="preserve"/>
      </w:r>
    </w:p>
    <w:p>
      <w:pPr>
        <w:spacing w:after="120" w:before="0" w:line="276"/>
        <w:jc w:val="both"/>
      </w:pPr>
      <w:r>
        <w:rPr>
          <w:rFonts w:ascii="Arial" w:cs="Arial" w:eastAsia="Arial" w:hAnsi="Arial"/>
          <w:color w:val="111827"/>
          <w:sz w:val="22"/>
          <w:szCs w:val="22"/>
        </w:rPr>
        <w:t xml:space="preserve">The platform is structured across three membership tiers — Foundation (R2,500/month), Practitioner (R5,000/month), and Elite KI Circle (R15,000/month, capped at 30 members) — delivering CPD-accredited training modules, done-for-you compliance templates, live FSCA regulatory alerts, AI-powered compliance advisory, and direct Key Individual mentoring at the elite tier. The full technology platform (member portal, marketing site, and admin command centre) has been built and is deployment-ready at www.praeto.co.za.</w:t>
      </w:r>
    </w:p>
    <w:p>
      <w:pPr>
        <w:spacing w:after="120" w:before="0" w:line="276"/>
        <w:jc w:val="both"/>
      </w:pPr>
      <w:r>
        <w:rPr>
          <w:rFonts w:ascii="Arial" w:cs="Arial" w:eastAsia="Arial" w:hAnsi="Arial"/>
          <w:color w:val="111827"/>
          <w:sz w:val="22"/>
          <w:szCs w:val="22"/>
        </w:rPr>
        <w:t xml:space="preserve">This business plan covers the strategic rationale, market analysis, revenue model, 90-day launch execution plan, operational structure, risk assessment, and 36-month financial projections for the Praeto Compliance Club.</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2.  Business Overview</w:t>
      </w:r>
    </w:p>
    <w:p>
      <w:pPr>
        <w:pStyle w:val="Heading2"/>
        <w:spacing w:after="80" w:before="300"/>
      </w:pPr>
      <w:r>
        <w:rPr>
          <w:rFonts w:ascii="Arial" w:cs="Arial" w:eastAsia="Arial" w:hAnsi="Arial"/>
          <w:b/>
          <w:bCs/>
          <w:color w:val="1F3864"/>
          <w:sz w:val="26"/>
          <w:szCs w:val="26"/>
        </w:rPr>
        <w:t xml:space="preserve">2.1  Entity and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Item</w:t>
            </w:r>
          </w:p>
        </w:tc>
        <w:tc>
          <w:tcPr>
            <w:tcW w:type="dxa" w:w="62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Detail</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Operating Entity</w:t>
            </w:r>
          </w:p>
        </w:tc>
        <w:tc>
          <w:tcPr>
            <w:tcW w:type="dxa" w:w="6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Praeto Trading CC  ·  CIPC 2003/049530/23</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Trading Name</w:t>
            </w:r>
          </w:p>
        </w:tc>
        <w:tc>
          <w:tcPr>
            <w:tcW w:type="dxa" w:w="6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Praeto Compliance Club</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Parent Group</w:t>
            </w:r>
          </w:p>
        </w:tc>
        <w:tc>
          <w:tcPr>
            <w:tcW w:type="dxa" w:w="6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Praeto Group Holdings</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FSP Licence</w:t>
            </w:r>
          </w:p>
        </w:tc>
        <w:tc>
          <w:tcPr>
            <w:tcW w:type="dxa" w:w="6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FSCA Category I  ·  FSP 1457</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Training Accreditation</w:t>
            </w:r>
          </w:p>
        </w:tc>
        <w:tc>
          <w:tcPr>
            <w:tcW w:type="dxa" w:w="6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TETA 06-157  ·  Tiespro Training Institute</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Key Individual</w:t>
            </w:r>
          </w:p>
        </w:tc>
        <w:tc>
          <w:tcPr>
            <w:tcW w:type="dxa" w:w="6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Berkeley Eldred Pretorius  ·  RE1, RE5</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NCRDC Licence</w:t>
            </w:r>
          </w:p>
        </w:tc>
        <w:tc>
          <w:tcPr>
            <w:tcW w:type="dxa" w:w="6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People's Debt Solutions  ·  NCRDC registered</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Registered Address</w:t>
            </w:r>
          </w:p>
        </w:tc>
        <w:tc>
          <w:tcPr>
            <w:tcW w:type="dxa" w:w="6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Durban, KwaZulu-Natal</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Website</w:t>
            </w:r>
          </w:p>
        </w:tc>
        <w:tc>
          <w:tcPr>
            <w:tcW w:type="dxa" w:w="6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www.praeto.co.za</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Launch Date</w:t>
            </w:r>
          </w:p>
        </w:tc>
        <w:tc>
          <w:tcPr>
            <w:tcW w:type="dxa" w:w="6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Q3 2026  ·  Platform deployment-ready</w:t>
            </w:r>
          </w:p>
        </w:tc>
      </w:tr>
    </w:tbl>
    <w:p>
      <w:pPr>
        <w:spacing w:after="0" w:before="0" w:line="320"/>
      </w:pPr>
      <w:r>
        <w:t xml:space="preserve"/>
      </w:r>
    </w:p>
    <w:p>
      <w:pPr>
        <w:pStyle w:val="Heading2"/>
        <w:spacing w:after="80" w:before="300"/>
      </w:pPr>
      <w:r>
        <w:rPr>
          <w:rFonts w:ascii="Arial" w:cs="Arial" w:eastAsia="Arial" w:hAnsi="Arial"/>
          <w:b/>
          <w:bCs/>
          <w:color w:val="1F3864"/>
          <w:sz w:val="26"/>
          <w:szCs w:val="26"/>
        </w:rPr>
        <w:t xml:space="preserve">2.2  Mission Statement</w:t>
      </w:r>
    </w:p>
    <w:p>
      <w:pPr>
        <w:spacing w:after="120" w:before="0" w:line="276"/>
        <w:jc w:val="both"/>
      </w:pPr>
      <w:r>
        <w:rPr>
          <w:rFonts w:ascii="Arial" w:cs="Arial" w:eastAsia="Arial" w:hAnsi="Arial"/>
          <w:color w:val="111827"/>
          <w:sz w:val="22"/>
          <w:szCs w:val="22"/>
        </w:rPr>
        <w:t xml:space="preserve">To protect South African financial services practitioners from regulatory sanctions by delivering the most current, practical, and affordable compliance infrastructure available — backed by four decades of active FSP practice and operated by a Key Individual whose own licence depends on the same regulatory standards his members must meet.</w:t>
      </w:r>
    </w:p>
    <w:p>
      <w:pPr>
        <w:pStyle w:val="Heading2"/>
        <w:spacing w:after="80" w:before="300"/>
      </w:pPr>
      <w:r>
        <w:rPr>
          <w:rFonts w:ascii="Arial" w:cs="Arial" w:eastAsia="Arial" w:hAnsi="Arial"/>
          <w:b/>
          <w:bCs/>
          <w:color w:val="1F3864"/>
          <w:sz w:val="26"/>
          <w:szCs w:val="26"/>
        </w:rPr>
        <w:t xml:space="preserve">2.3  The Founder's Unfair Advantage</w:t>
      </w:r>
    </w:p>
    <w:p>
      <w:pPr>
        <w:spacing w:after="120" w:before="0" w:line="276"/>
        <w:jc w:val="both"/>
      </w:pPr>
      <w:r>
        <w:rPr>
          <w:rFonts w:ascii="Arial" w:cs="Arial" w:eastAsia="Arial" w:hAnsi="Arial"/>
          <w:color w:val="111827"/>
          <w:sz w:val="22"/>
          <w:szCs w:val="22"/>
        </w:rPr>
        <w:t xml:space="preserve">Berkeley Pretorius holds credentials that take decades to accumulate and cannot be acquired through a training course. The combination of RE1 (Key Individual), RE5 (representative competency), Registered Assessor, Registered Moderator (SAQA), Skills Development Facilitator, and NCRDC registration — active simultaneously, under a live Category I FSP licence — represents the full regulatory stack of the South African financial services ecosystem. No competitor in the compliance membership market can replicate this without an equivalent 38-year career.</w:t>
      </w:r>
    </w:p>
    <w:p>
      <w:pPr>
        <w:pStyle w:val="ListParagraph"/>
        <w:numPr>
          <w:ilvl w:val="0"/>
          <w:numId w:val="2"/>
        </w:numPr>
        <w:spacing w:after="40" w:before="40"/>
      </w:pPr>
      <w:r>
        <w:rPr>
          <w:rFonts w:ascii="Arial" w:cs="Arial" w:eastAsia="Arial" w:hAnsi="Arial"/>
          <w:color w:val="111827"/>
          <w:sz w:val="22"/>
          <w:szCs w:val="22"/>
        </w:rPr>
        <w:t xml:space="preserve">RE1 Key Individual: Authorises supervision of financial services activities and direct FSCA engagement</w:t>
      </w:r>
    </w:p>
    <w:p>
      <w:pPr>
        <w:pStyle w:val="ListParagraph"/>
        <w:numPr>
          <w:ilvl w:val="0"/>
          <w:numId w:val="2"/>
        </w:numPr>
        <w:spacing w:after="40" w:before="40"/>
      </w:pPr>
      <w:r>
        <w:rPr>
          <w:rFonts w:ascii="Arial" w:cs="Arial" w:eastAsia="Arial" w:hAnsi="Arial"/>
          <w:color w:val="111827"/>
          <w:sz w:val="22"/>
          <w:szCs w:val="22"/>
        </w:rPr>
        <w:t xml:space="preserve">RE5: Maintains current representative-level competency — Berkeley knows the examination his members must pass</w:t>
      </w:r>
    </w:p>
    <w:p>
      <w:pPr>
        <w:pStyle w:val="ListParagraph"/>
        <w:numPr>
          <w:ilvl w:val="0"/>
          <w:numId w:val="2"/>
        </w:numPr>
        <w:spacing w:after="40" w:before="40"/>
      </w:pPr>
      <w:r>
        <w:rPr>
          <w:rFonts w:ascii="Arial" w:cs="Arial" w:eastAsia="Arial" w:hAnsi="Arial"/>
          <w:color w:val="111827"/>
          <w:sz w:val="22"/>
          <w:szCs w:val="22"/>
        </w:rPr>
        <w:t xml:space="preserve">Registered Assessor &amp; Moderator: Gives Tiespro Training Institute the ability to issue FSCA-recognised CPD certificates</w:t>
      </w:r>
    </w:p>
    <w:p>
      <w:pPr>
        <w:pStyle w:val="ListParagraph"/>
        <w:numPr>
          <w:ilvl w:val="0"/>
          <w:numId w:val="2"/>
        </w:numPr>
        <w:spacing w:after="40" w:before="40"/>
      </w:pPr>
      <w:r>
        <w:rPr>
          <w:rFonts w:ascii="Arial" w:cs="Arial" w:eastAsia="Arial" w:hAnsi="Arial"/>
          <w:color w:val="111827"/>
          <w:sz w:val="22"/>
          <w:szCs w:val="22"/>
        </w:rPr>
        <w:t xml:space="preserve">SDF: Skills Development Facilitator qualification underpins the Tiespro learnership and training infrastructure</w:t>
      </w:r>
    </w:p>
    <w:p>
      <w:pPr>
        <w:pStyle w:val="ListParagraph"/>
        <w:numPr>
          <w:ilvl w:val="0"/>
          <w:numId w:val="2"/>
        </w:numPr>
        <w:spacing w:after="40" w:before="40"/>
      </w:pPr>
      <w:r>
        <w:rPr>
          <w:rFonts w:ascii="Arial" w:cs="Arial" w:eastAsia="Arial" w:hAnsi="Arial"/>
          <w:color w:val="111827"/>
          <w:sz w:val="22"/>
          <w:szCs w:val="22"/>
        </w:rPr>
        <w:t xml:space="preserve">NCRDC: Extends credibility into debt counselling compliance for multi-licence FSPs</w:t>
      </w:r>
    </w:p>
    <w:p>
      <w:pPr>
        <w:pStyle w:val="ListParagraph"/>
        <w:numPr>
          <w:ilvl w:val="0"/>
          <w:numId w:val="2"/>
        </w:numPr>
        <w:spacing w:after="40" w:before="40"/>
      </w:pPr>
      <w:r>
        <w:rPr>
          <w:rFonts w:ascii="Arial" w:cs="Arial" w:eastAsia="Arial" w:hAnsi="Arial"/>
          <w:color w:val="111827"/>
          <w:sz w:val="22"/>
          <w:szCs w:val="22"/>
        </w:rPr>
        <w:t xml:space="preserve">38 Years Active Practice: Every template, every alert, every module is battle-tested in Berkeley's own FSP before it reaches members</w:t>
      </w:r>
    </w:p>
    <w:p>
      <w:pPr>
        <w:spacing w:after="0" w:before="0" w:line="240"/>
      </w:pPr>
      <w:r>
        <w:t xml:space="preserve"/>
      </w:r>
    </w:p>
    <w:p>
      <w:pPr>
        <w:pStyle w:val="Heading2"/>
        <w:spacing w:after="80" w:before="300"/>
      </w:pPr>
      <w:r>
        <w:rPr>
          <w:rFonts w:ascii="Arial" w:cs="Arial" w:eastAsia="Arial" w:hAnsi="Arial"/>
          <w:b/>
          <w:bCs/>
          <w:color w:val="1F3864"/>
          <w:sz w:val="26"/>
          <w:szCs w:val="26"/>
        </w:rPr>
        <w:t xml:space="preserve">2.4  Group Structure</w:t>
      </w:r>
    </w:p>
    <w:p>
      <w:pPr>
        <w:spacing w:after="120" w:before="0" w:line="276"/>
        <w:jc w:val="both"/>
      </w:pPr>
      <w:r>
        <w:rPr>
          <w:rFonts w:ascii="Arial" w:cs="Arial" w:eastAsia="Arial" w:hAnsi="Arial"/>
          <w:color w:val="111827"/>
          <w:sz w:val="22"/>
          <w:szCs w:val="22"/>
        </w:rPr>
        <w:t xml:space="preserve">The Praeto Compliance Club operates as a product line within Praeto Trading CC, drawing on group infrastructure from Tiespro Training Institute (CPD content production, TETA accreditation), Praeto Risk &amp; Insurance Management Solutions FSP 1457 (regulatory authority and template production), and the Pretorius Family Trust structure (governance and capital). This eliminates the need for separate entity incorporation and leverages existing licences and systems.</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3.  Market Analysis</w:t>
      </w:r>
    </w:p>
    <w:p>
      <w:pPr>
        <w:pStyle w:val="Heading2"/>
        <w:spacing w:after="80" w:before="300"/>
      </w:pPr>
      <w:r>
        <w:rPr>
          <w:rFonts w:ascii="Arial" w:cs="Arial" w:eastAsia="Arial" w:hAnsi="Arial"/>
          <w:b/>
          <w:bCs/>
          <w:color w:val="1F3864"/>
          <w:sz w:val="26"/>
          <w:szCs w:val="26"/>
        </w:rPr>
        <w:t xml:space="preserve">3.1  The South African FSP Compliance Crisis</w:t>
      </w:r>
    </w:p>
    <w:p>
      <w:pPr>
        <w:spacing w:after="120" w:before="0" w:line="276"/>
        <w:jc w:val="both"/>
      </w:pPr>
      <w:r>
        <w:rPr>
          <w:rFonts w:ascii="Arial" w:cs="Arial" w:eastAsia="Arial" w:hAnsi="Arial"/>
          <w:color w:val="111827"/>
          <w:sz w:val="22"/>
          <w:szCs w:val="22"/>
        </w:rPr>
        <w:t xml:space="preserve">The Financial Sector Conduct Authority's 2026 enforcement programme has created a compliance crisis across South Africa's advisory market. The FSCA has dramatically increased the frequency and severity of supervisory actions against Category I FSPs, with sanctions in the first half of 2026 already exceeding the full-year totals of 2024. The primary failure points — AML/CFT programme gaps, inadequate ROA documentation, PPR Section 8 replacement disclosure failures, and missed CPD obligations — are precisely the areas the Praeto Compliance Club addresses.</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Failure Category</w:t>
            </w:r>
          </w:p>
        </w:tc>
        <w:tc>
          <w:tcPr>
            <w:tcW w:type="dxa" w:w="2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 of 2026 Sanctions</w:t>
            </w:r>
          </w:p>
        </w:tc>
        <w:tc>
          <w:tcPr>
            <w:tcW w:type="dxa" w:w="40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Praeto Solution</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FIC Act AML/CFT Gaps</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63%</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Done-for-you AML/CFT programme template — updated quarterly</w:t>
            </w:r>
          </w:p>
        </w:tc>
      </w:tr>
      <w:tr>
        <w:tc>
          <w:tcPr>
            <w:tcW w:type="dxa" w:w="3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ROA/FNA Non-compliance</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21%</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PPR-compliant ROA &amp; FNA templates updated after every amendment</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CPD Shortfalls</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9%</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FSCA-recognised CPD tracking — 20+ modules covering 30-hour annual obligation</w:t>
            </w:r>
          </w:p>
        </w:tc>
      </w:tr>
      <w:tr>
        <w:tc>
          <w:tcPr>
            <w:tcW w:type="dxa" w:w="3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Replacement Disclosure Failures</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5%</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PPR Section 8 disclosure templates — updated June 2026</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Other FAIS Breaches</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2%</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Comprehensive FAIS compliance manual and live KI advisory access</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3.2  Total Addressable Market</w:t>
      </w:r>
    </w:p>
    <w:p>
      <w:pPr>
        <w:spacing w:after="120" w:before="0" w:line="276"/>
        <w:jc w:val="both"/>
      </w:pPr>
      <w:r>
        <w:rPr>
          <w:rFonts w:ascii="Arial" w:cs="Arial" w:eastAsia="Arial" w:hAnsi="Arial"/>
          <w:color w:val="111827"/>
          <w:sz w:val="22"/>
          <w:szCs w:val="22"/>
        </w:rPr>
        <w:t xml:space="preserve">The FSCA's public register lists 8,400+ active Category I FSPs nationally. These are the primary target market. A secondary market exists among authorised representatives, Category II FSPs, and financial planning practices employing multiple licensed representatives. The KwaZulu-Natal market — Berkeley's home base and primary initial distribution channel — accounts for approximately 1,200 active FSPs.</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Market Segment</w:t>
            </w:r>
          </w:p>
        </w:tc>
        <w:tc>
          <w:tcPr>
            <w:tcW w:type="dxa" w:w="2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Est. FSPs</w:t>
            </w:r>
          </w:p>
        </w:tc>
        <w:tc>
          <w:tcPr>
            <w:tcW w:type="dxa" w:w="2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Praeto Target</w:t>
            </w:r>
          </w:p>
        </w:tc>
      </w:tr>
      <w:tr>
        <w:tc>
          <w:tcPr>
            <w:tcW w:type="dxa" w:w="3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KwaZulu-Natal (Phase 1)</w:t>
            </w:r>
          </w:p>
        </w:tc>
        <w:tc>
          <w:tcPr>
            <w:tcW w:type="dxa" w:w="2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~1,200</w:t>
            </w:r>
          </w:p>
        </w:tc>
        <w:tc>
          <w:tcPr>
            <w:tcW w:type="dxa" w:w="2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60 members (5%)</w:t>
            </w:r>
          </w:p>
        </w:tc>
      </w:tr>
      <w:tr>
        <w:tc>
          <w:tcPr>
            <w:tcW w:type="dxa" w:w="3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Gauteng (Phase 2)</w:t>
            </w:r>
          </w:p>
        </w:tc>
        <w:tc>
          <w:tcPr>
            <w:tcW w:type="dxa" w:w="2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~3,100</w:t>
            </w:r>
          </w:p>
        </w:tc>
        <w:tc>
          <w:tcPr>
            <w:tcW w:type="dxa" w:w="2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80 members (2.6%)</w:t>
            </w:r>
          </w:p>
        </w:tc>
      </w:tr>
      <w:tr>
        <w:tc>
          <w:tcPr>
            <w:tcW w:type="dxa" w:w="3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Western Cape (Phase 2)</w:t>
            </w:r>
          </w:p>
        </w:tc>
        <w:tc>
          <w:tcPr>
            <w:tcW w:type="dxa" w:w="2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~1,800</w:t>
            </w:r>
          </w:p>
        </w:tc>
        <w:tc>
          <w:tcPr>
            <w:tcW w:type="dxa" w:w="2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60 members (3.3%)</w:t>
            </w:r>
          </w:p>
        </w:tc>
      </w:tr>
      <w:tr>
        <w:tc>
          <w:tcPr>
            <w:tcW w:type="dxa" w:w="3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F3864"/>
                <w:sz w:val="20"/>
                <w:szCs w:val="20"/>
              </w:rPr>
              <w:t xml:space="preserve">Other Provinces (Phase 3)</w:t>
            </w:r>
          </w:p>
        </w:tc>
        <w:tc>
          <w:tcPr>
            <w:tcW w:type="dxa" w:w="2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~2,300</w:t>
            </w:r>
          </w:p>
        </w:tc>
        <w:tc>
          <w:tcPr>
            <w:tcW w:type="dxa" w:w="2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80 members (3.5%)</w:t>
            </w:r>
          </w:p>
        </w:tc>
      </w:tr>
      <w:tr>
        <w:tc>
          <w:tcPr>
            <w:tcW w:type="dxa" w:w="3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20"/>
                <w:szCs w:val="20"/>
              </w:rPr>
              <w:t xml:space="preserve">Total Addressable Market</w:t>
            </w:r>
          </w:p>
        </w:tc>
        <w:tc>
          <w:tcPr>
            <w:tcW w:type="dxa" w:w="2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center"/>
            </w:pPr>
            <w:r>
              <w:rPr>
                <w:rFonts w:ascii="Arial" w:cs="Arial" w:eastAsia="Arial" w:hAnsi="Arial"/>
                <w:b/>
                <w:bCs/>
                <w:color w:val="C9A84C"/>
                <w:sz w:val="20"/>
                <w:szCs w:val="20"/>
              </w:rPr>
              <w:t xml:space="preserve">~8,400</w:t>
            </w:r>
          </w:p>
        </w:tc>
        <w:tc>
          <w:tcPr>
            <w:tcW w:type="dxa" w:w="2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center"/>
            </w:pPr>
            <w:r>
              <w:rPr>
                <w:rFonts w:ascii="Arial" w:cs="Arial" w:eastAsia="Arial" w:hAnsi="Arial"/>
                <w:b/>
                <w:bCs/>
                <w:color w:val="C9A84C"/>
                <w:sz w:val="20"/>
                <w:szCs w:val="20"/>
              </w:rPr>
              <w:t xml:space="preserve">280 members (3.3%)</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3.3  Competitive Landscape</w:t>
      </w:r>
    </w:p>
    <w:p>
      <w:pPr>
        <w:spacing w:after="120" w:before="0" w:line="276"/>
        <w:jc w:val="both"/>
      </w:pPr>
      <w:r>
        <w:rPr>
          <w:rFonts w:ascii="Arial" w:cs="Arial" w:eastAsia="Arial" w:hAnsi="Arial"/>
          <w:color w:val="111827"/>
          <w:sz w:val="22"/>
          <w:szCs w:val="22"/>
        </w:rPr>
        <w:t xml:space="preserve">The South African compliance training and advisory market is fragmented. No existing provider combines live FSP operation, Key Individual-level authority, TETA-accredited CPD delivery, and a recurring membership model at accessible price points. The primary competitive categories are:</w:t>
      </w:r>
    </w:p>
    <w:p>
      <w:pPr>
        <w:pStyle w:val="ListParagraph"/>
        <w:numPr>
          <w:ilvl w:val="0"/>
          <w:numId w:val="2"/>
        </w:numPr>
        <w:spacing w:after="40" w:before="40"/>
      </w:pPr>
      <w:r>
        <w:rPr>
          <w:rFonts w:ascii="Arial" w:cs="Arial" w:eastAsia="Arial" w:hAnsi="Arial"/>
          <w:color w:val="111827"/>
          <w:sz w:val="22"/>
          <w:szCs w:val="22"/>
        </w:rPr>
        <w:t xml:space="preserve">Professional Compliance Officers (PCOs): Large firms charging R15,000–R40,000 per month per FSP for full outsourced compliance. Premium-priced and inaccessible to most small-to-mid FSPs.</w:t>
      </w:r>
    </w:p>
    <w:p>
      <w:pPr>
        <w:pStyle w:val="ListParagraph"/>
        <w:numPr>
          <w:ilvl w:val="0"/>
          <w:numId w:val="2"/>
        </w:numPr>
        <w:spacing w:after="40" w:before="40"/>
      </w:pPr>
      <w:r>
        <w:rPr>
          <w:rFonts w:ascii="Arial" w:cs="Arial" w:eastAsia="Arial" w:hAnsi="Arial"/>
          <w:color w:val="111827"/>
          <w:sz w:val="22"/>
          <w:szCs w:val="22"/>
        </w:rPr>
        <w:t xml:space="preserve">INSETA and FPI CPD Events: Episodic, event-based CPD provision with no ongoing compliance support, templates, or regulatory monitoring.</w:t>
      </w:r>
    </w:p>
    <w:p>
      <w:pPr>
        <w:pStyle w:val="ListParagraph"/>
        <w:numPr>
          <w:ilvl w:val="0"/>
          <w:numId w:val="2"/>
        </w:numPr>
        <w:spacing w:after="40" w:before="40"/>
      </w:pPr>
      <w:r>
        <w:rPr>
          <w:rFonts w:ascii="Arial" w:cs="Arial" w:eastAsia="Arial" w:hAnsi="Arial"/>
          <w:color w:val="111827"/>
          <w:sz w:val="22"/>
          <w:szCs w:val="22"/>
        </w:rPr>
        <w:t xml:space="preserve">Generic LMS Platforms (e.g. SkillsMap, Compliance Online): Non-FSP-specific, not operated by active practitioners, no FSCA alert service, no done-for-you templates.</w:t>
      </w:r>
    </w:p>
    <w:p>
      <w:pPr>
        <w:pStyle w:val="ListParagraph"/>
        <w:numPr>
          <w:ilvl w:val="0"/>
          <w:numId w:val="2"/>
        </w:numPr>
        <w:spacing w:after="40" w:before="40"/>
      </w:pPr>
      <w:r>
        <w:rPr>
          <w:rFonts w:ascii="Arial" w:cs="Arial" w:eastAsia="Arial" w:hAnsi="Arial"/>
          <w:color w:val="111827"/>
          <w:sz w:val="22"/>
          <w:szCs w:val="22"/>
        </w:rPr>
        <w:t xml:space="preserve">Individual Compliance Consultants: Hourly billing, no scalable product, no technology platform, not TETA-accredited.</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2"/>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bCs/>
                <w:color w:val="1F3864"/>
                <w:sz w:val="18"/>
                <w:szCs w:val="18"/>
              </w:rPr>
              <w:t xml:space="preserve">COMPETITIVE MOAT</w:t>
            </w:r>
          </w:p>
        </w:tc>
      </w:tr>
      <w:tr>
        <w:tc>
          <w:tcPr>
            <w:tcW w:type="dxa" w:w="9026"/>
            <w:tcBorders>
              <w:top w:val="none" w:color="FFFFFF" w:sz="0"/>
              <w:left w:val="single" w:color="C9A84C" w:sz="12"/>
              <w:bottom w:val="single" w:color="C9A84C" w:sz="12"/>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val="false"/>
                <w:bCs w:val="false"/>
                <w:color w:val="111827"/>
                <w:sz w:val="22"/>
                <w:szCs w:val="22"/>
              </w:rPr>
              <w:t xml:space="preserve">Praeto Compliance Club is the only membership in the market operated by an active KI under a live Category I FSP licence, with TETA-accredited CPD delivery, a published FSCA alert service, AI-powered compliance advisory, and a full template library — at Foundation pricing that costs less than one hour of a PCO's time.</w:t>
            </w:r>
          </w:p>
        </w:tc>
      </w:tr>
    </w:tbl>
    <w:p>
      <w:pPr>
        <w:spacing w:after="0" w:before="0" w:line="240"/>
      </w:pPr>
      <w:r>
        <w:t xml:space="preserve"/>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4.  Product &amp; Service Offering</w:t>
      </w:r>
    </w:p>
    <w:p>
      <w:pPr>
        <w:pStyle w:val="Heading2"/>
        <w:spacing w:after="80" w:before="300"/>
      </w:pPr>
      <w:r>
        <w:rPr>
          <w:rFonts w:ascii="Arial" w:cs="Arial" w:eastAsia="Arial" w:hAnsi="Arial"/>
          <w:b/>
          <w:bCs/>
          <w:color w:val="1F3864"/>
          <w:sz w:val="26"/>
          <w:szCs w:val="26"/>
        </w:rPr>
        <w:t xml:space="preserve">4.1  Membership Tiers</w:t>
      </w:r>
    </w:p>
    <w:p>
      <w:pPr>
        <w:spacing w:after="120" w:before="0" w:line="276"/>
        <w:jc w:val="both"/>
      </w:pPr>
      <w:r>
        <w:rPr>
          <w:rFonts w:ascii="Arial" w:cs="Arial" w:eastAsia="Arial" w:hAnsi="Arial"/>
          <w:color w:val="111827"/>
          <w:sz w:val="22"/>
          <w:szCs w:val="22"/>
        </w:rPr>
        <w:t xml:space="preserve">The platform operates a three-tier membership model, structured to deliver compelling value at every price point and to create natural upgrade pathways from Foundation to Elite KI Circle.</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Feature</w:t>
            </w:r>
          </w:p>
        </w:tc>
        <w:tc>
          <w:tcPr>
            <w:tcW w:type="dxa" w:w="2175"/>
            <w:tcBorders>
              <w:top w:val="single" w:color="D5D0C8" w:sz="4"/>
              <w:left w:val="single" w:color="D5D0C8" w:sz="4"/>
              <w:bottom w:val="single" w:color="D5D0C8" w:sz="4"/>
              <w:right w:val="single" w:color="D5D0C8" w:sz="4"/>
            </w:tcBorders>
            <w:shd w:fill="C9A84C"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Foundation  R2,500/mo</w:t>
            </w:r>
          </w:p>
        </w:tc>
        <w:tc>
          <w:tcPr>
            <w:tcW w:type="dxa" w:w="2175"/>
            <w:tcBorders>
              <w:top w:val="single" w:color="D5D0C8" w:sz="4"/>
              <w:left w:val="single" w:color="D5D0C8" w:sz="4"/>
              <w:bottom w:val="single" w:color="D5D0C8" w:sz="4"/>
              <w:right w:val="single" w:color="D5D0C8" w:sz="4"/>
            </w:tcBorders>
            <w:shd w:fill="C9A84C"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Practitioner  R5,000/mo</w:t>
            </w:r>
          </w:p>
        </w:tc>
        <w:tc>
          <w:tcPr>
            <w:tcW w:type="dxa" w:w="2176"/>
            <w:tcBorders>
              <w:top w:val="single" w:color="D5D0C8" w:sz="4"/>
              <w:left w:val="single" w:color="D5D0C8" w:sz="4"/>
              <w:bottom w:val="single" w:color="D5D0C8" w:sz="4"/>
              <w:right w:val="single" w:color="D5D0C8" w:sz="4"/>
            </w:tcBorders>
            <w:shd w:fill="C9A84C"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Elite KI  R15,000/mo</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CPD Training Library (20+ modules)</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FSCA Regulatory Alert Service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 Priority</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ROA, FNA &amp; Disclosure Templates</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KI Supervision Log Templates</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Monthly Compliance Newsletter</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CPD Tracking &amp; Certificates</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AI Compliance Advisor</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Done-for-you ROA/FNA Review</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2 per month</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Unlimited</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Full Compliance Manual Template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FIC Act AML/CFT Programme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Cell Captive Funeral Scheme Access</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Monthly Live Webinar</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Quarterly Personal Compliance Audit</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1:1 KI Mentoring with Berkeley</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FSCA Representation Support</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Elite KI Mastermind Circle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Complimentary Summit Access</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5"/>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w:t>
            </w:r>
          </w:p>
        </w:tc>
        <w:tc>
          <w:tcPr>
            <w:tcW w:type="dxa" w:w="217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Member Cap</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Unlimited</w:t>
            </w:r>
          </w:p>
        </w:tc>
        <w:tc>
          <w:tcPr>
            <w:tcW w:type="dxa" w:w="2175"/>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Unlimited</w:t>
            </w:r>
          </w:p>
        </w:tc>
        <w:tc>
          <w:tcPr>
            <w:tcW w:type="dxa" w:w="217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66534"/>
                <w:sz w:val="20"/>
                <w:szCs w:val="20"/>
              </w:rPr>
              <w:t xml:space="preserve">30 members max</w:t>
            </w:r>
          </w:p>
        </w:tc>
      </w:tr>
    </w:tbl>
    <w:p>
      <w:pPr>
        <w:spacing w:after="0" w:before="0" w:line="320"/>
      </w:pPr>
      <w:r>
        <w:t xml:space="preserve"/>
      </w:r>
    </w:p>
    <w:p>
      <w:pPr>
        <w:pStyle w:val="Heading2"/>
        <w:spacing w:after="80" w:before="300"/>
      </w:pPr>
      <w:r>
        <w:rPr>
          <w:rFonts w:ascii="Arial" w:cs="Arial" w:eastAsia="Arial" w:hAnsi="Arial"/>
          <w:b/>
          <w:bCs/>
          <w:color w:val="1F3864"/>
          <w:sz w:val="26"/>
          <w:szCs w:val="26"/>
        </w:rPr>
        <w:t xml:space="preserve">4.2  The Compliance Summit</w:t>
      </w:r>
    </w:p>
    <w:p>
      <w:pPr>
        <w:spacing w:after="120" w:before="0" w:line="276"/>
        <w:jc w:val="both"/>
      </w:pPr>
      <w:r>
        <w:rPr>
          <w:rFonts w:ascii="Arial" w:cs="Arial" w:eastAsia="Arial" w:hAnsi="Arial"/>
          <w:color w:val="111827"/>
          <w:sz w:val="22"/>
          <w:szCs w:val="22"/>
        </w:rPr>
        <w:t xml:space="preserve">Quarterly live events — led initially by the Inaugural Praeto Compliance Summit on 18 September 2026 at the Durban ICC — serve three strategic functions: direct revenue generation (R2,500 per delegate for non-members, discounted for members), brand authority positioning, and member acquisition events where 20–30% of attendees convert to paid memberships. Each summit is recorded and integrated into the CPD library, generating content at zero marginal cost.</w:t>
      </w:r>
    </w:p>
    <w:p>
      <w:pPr>
        <w:pStyle w:val="ListParagraph"/>
        <w:numPr>
          <w:ilvl w:val="0"/>
          <w:numId w:val="2"/>
        </w:numPr>
        <w:spacing w:after="40" w:before="40"/>
      </w:pPr>
      <w:r>
        <w:rPr>
          <w:rFonts w:ascii="Arial" w:cs="Arial" w:eastAsia="Arial" w:hAnsi="Arial"/>
          <w:color w:val="111827"/>
          <w:sz w:val="22"/>
          <w:szCs w:val="22"/>
        </w:rPr>
        <w:t xml:space="preserve">Target: 200 delegates per summit · 4 events annually</w:t>
      </w:r>
    </w:p>
    <w:p>
      <w:pPr>
        <w:pStyle w:val="ListParagraph"/>
        <w:numPr>
          <w:ilvl w:val="0"/>
          <w:numId w:val="2"/>
        </w:numPr>
        <w:spacing w:after="40" w:before="40"/>
      </w:pPr>
      <w:r>
        <w:rPr>
          <w:rFonts w:ascii="Arial" w:cs="Arial" w:eastAsia="Arial" w:hAnsi="Arial"/>
          <w:color w:val="111827"/>
          <w:sz w:val="22"/>
          <w:szCs w:val="22"/>
        </w:rPr>
        <w:t xml:space="preserve">Revenue per event: R250,000–R500,000 (blended member/non-member pricing)</w:t>
      </w:r>
    </w:p>
    <w:p>
      <w:pPr>
        <w:pStyle w:val="ListParagraph"/>
        <w:numPr>
          <w:ilvl w:val="0"/>
          <w:numId w:val="2"/>
        </w:numPr>
        <w:spacing w:after="40" w:before="40"/>
      </w:pPr>
      <w:r>
        <w:rPr>
          <w:rFonts w:ascii="Arial" w:cs="Arial" w:eastAsia="Arial" w:hAnsi="Arial"/>
          <w:color w:val="111827"/>
          <w:sz w:val="22"/>
          <w:szCs w:val="22"/>
        </w:rPr>
        <w:t xml:space="preserve">Annual summit revenue target: R1,000,000+</w:t>
      </w:r>
    </w:p>
    <w:p>
      <w:pPr>
        <w:pStyle w:val="ListParagraph"/>
        <w:numPr>
          <w:ilvl w:val="0"/>
          <w:numId w:val="2"/>
        </w:numPr>
        <w:spacing w:after="40" w:before="40"/>
      </w:pPr>
      <w:r>
        <w:rPr>
          <w:rFonts w:ascii="Arial" w:cs="Arial" w:eastAsia="Arial" w:hAnsi="Arial"/>
          <w:color w:val="111827"/>
          <w:sz w:val="22"/>
          <w:szCs w:val="22"/>
        </w:rPr>
        <w:t xml:space="preserve">8 FSCA-recognised CPD hours per summit</w:t>
      </w:r>
    </w:p>
    <w:p>
      <w:pPr>
        <w:spacing w:after="0" w:before="0" w:line="160"/>
      </w:pPr>
      <w:r>
        <w:t xml:space="preserve"/>
      </w:r>
    </w:p>
    <w:p>
      <w:pPr>
        <w:pStyle w:val="Heading2"/>
        <w:spacing w:after="80" w:before="300"/>
      </w:pPr>
      <w:r>
        <w:rPr>
          <w:rFonts w:ascii="Arial" w:cs="Arial" w:eastAsia="Arial" w:hAnsi="Arial"/>
          <w:b/>
          <w:bCs/>
          <w:color w:val="1F3864"/>
          <w:sz w:val="26"/>
          <w:szCs w:val="26"/>
        </w:rPr>
        <w:t xml:space="preserve">4.3  Technology Platform</w:t>
      </w:r>
    </w:p>
    <w:p>
      <w:pPr>
        <w:spacing w:after="120" w:before="0" w:line="276"/>
        <w:jc w:val="both"/>
      </w:pPr>
      <w:r>
        <w:rPr>
          <w:rFonts w:ascii="Arial" w:cs="Arial" w:eastAsia="Arial" w:hAnsi="Arial"/>
          <w:color w:val="111827"/>
          <w:sz w:val="22"/>
          <w:szCs w:val="22"/>
        </w:rPr>
        <w:t xml:space="preserve">The full platform is built and deployment-ready. It comprises three integrated components hosted at www.praeto.co.za:</w:t>
      </w:r>
    </w:p>
    <w:p>
      <w:pPr>
        <w:pStyle w:val="ListParagraph"/>
        <w:numPr>
          <w:ilvl w:val="0"/>
          <w:numId w:val="3"/>
        </w:numPr>
        <w:spacing w:after="40" w:before="40"/>
      </w:pPr>
      <w:r>
        <w:rPr>
          <w:rFonts w:ascii="Arial" w:cs="Arial" w:eastAsia="Arial" w:hAnsi="Arial"/>
          <w:color w:val="111827"/>
          <w:sz w:val="22"/>
          <w:szCs w:val="22"/>
        </w:rPr>
        <w:t xml:space="preserve">Member Portal: Full-featured dashboard with CPD tracking, module library, template downloads, AI Compliance Advisor (powered by Anthropic), FSCA alert feed, and membership management.</w:t>
      </w:r>
    </w:p>
    <w:p>
      <w:pPr>
        <w:pStyle w:val="ListParagraph"/>
        <w:numPr>
          <w:ilvl w:val="0"/>
          <w:numId w:val="3"/>
        </w:numPr>
        <w:spacing w:after="40" w:before="40"/>
      </w:pPr>
      <w:r>
        <w:rPr>
          <w:rFonts w:ascii="Arial" w:cs="Arial" w:eastAsia="Arial" w:hAnsi="Arial"/>
          <w:color w:val="111827"/>
          <w:sz w:val="22"/>
          <w:szCs w:val="22"/>
        </w:rPr>
        <w:t xml:space="preserve">Marketing Landing Page: Conversion-optimised public website with live FSCA sanction counter, regulatory alert ticker, tier comparison, and integrated application form.</w:t>
      </w:r>
    </w:p>
    <w:p>
      <w:pPr>
        <w:pStyle w:val="ListParagraph"/>
        <w:numPr>
          <w:ilvl w:val="0"/>
          <w:numId w:val="3"/>
        </w:numPr>
        <w:spacing w:after="40" w:before="40"/>
      </w:pPr>
      <w:r>
        <w:rPr>
          <w:rFonts w:ascii="Arial" w:cs="Arial" w:eastAsia="Arial" w:hAnsi="Arial"/>
          <w:color w:val="111827"/>
          <w:sz w:val="22"/>
          <w:szCs w:val="22"/>
        </w:rPr>
        <w:t xml:space="preserve">Admin Command Centre: Berkeley's private operations dashboard with member management, application processing, revenue analytics, AI-powered broadcast writing, and summit registration management.</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5.  Revenue Model &amp; Financial Projections</w:t>
      </w:r>
    </w:p>
    <w:p>
      <w:pPr>
        <w:pStyle w:val="Heading2"/>
        <w:spacing w:after="80" w:before="300"/>
      </w:pPr>
      <w:r>
        <w:rPr>
          <w:rFonts w:ascii="Arial" w:cs="Arial" w:eastAsia="Arial" w:hAnsi="Arial"/>
          <w:b/>
          <w:bCs/>
          <w:color w:val="1F3864"/>
          <w:sz w:val="26"/>
          <w:szCs w:val="26"/>
        </w:rPr>
        <w:t xml:space="preserve">5.1  Revenue Architecture</w:t>
      </w:r>
    </w:p>
    <w:p>
      <w:pPr>
        <w:spacing w:after="120" w:before="0" w:line="276"/>
        <w:jc w:val="both"/>
      </w:pPr>
      <w:r>
        <w:rPr>
          <w:rFonts w:ascii="Arial" w:cs="Arial" w:eastAsia="Arial" w:hAnsi="Arial"/>
          <w:color w:val="111827"/>
          <w:sz w:val="22"/>
          <w:szCs w:val="22"/>
        </w:rPr>
        <w:t xml:space="preserve">Revenue is structured across four streams, with monthly recurring membership subscriptions forming the primary and most predictable base:</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600"/>
        <w:gridCol w:w="1626"/>
      </w:tblGrid>
      <w:tr>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Revenue Stream</w:t>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Price</w:t>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Year 1 Target</w:t>
            </w:r>
          </w:p>
        </w:tc>
        <w:tc>
          <w:tcPr>
            <w:tcW w:type="dxa" w:w="16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Monthly Rev.</w:t>
            </w:r>
          </w:p>
        </w:tc>
        <w:tc>
          <w:tcPr>
            <w:tcW w:type="dxa" w:w="16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Annual Rev.</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Foundation Membership</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R2,500/mo</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150 members</w:t>
            </w:r>
          </w:p>
        </w:tc>
        <w:tc>
          <w:tcPr>
            <w:tcW w:type="dxa" w:w="16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166534"/>
                <w:sz w:val="20"/>
                <w:szCs w:val="20"/>
              </w:rPr>
              <w:t xml:space="preserve">R375,000</w:t>
            </w:r>
          </w:p>
        </w:tc>
        <w:tc>
          <w:tcPr>
            <w:tcW w:type="dxa" w:w="16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R4,500,000</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Practitioner Membership</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R5,000/mo</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100 members</w:t>
            </w:r>
          </w:p>
        </w:tc>
        <w:tc>
          <w:tcPr>
            <w:tcW w:type="dxa" w:w="16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166534"/>
                <w:sz w:val="20"/>
                <w:szCs w:val="20"/>
              </w:rPr>
              <w:t xml:space="preserve">R500,000</w:t>
            </w:r>
          </w:p>
        </w:tc>
        <w:tc>
          <w:tcPr>
            <w:tcW w:type="dxa" w:w="16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R6,000,000</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Elite KI Circle</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R15,000/mo</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30 members</w:t>
            </w:r>
          </w:p>
        </w:tc>
        <w:tc>
          <w:tcPr>
            <w:tcW w:type="dxa" w:w="16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166534"/>
                <w:sz w:val="20"/>
                <w:szCs w:val="20"/>
              </w:rPr>
              <w:t xml:space="preserve">R450,000</w:t>
            </w:r>
          </w:p>
        </w:tc>
        <w:tc>
          <w:tcPr>
            <w:tcW w:type="dxa" w:w="16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R5,400,000</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Compliance Summits</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R2,500/delegate</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4 events × 200</w:t>
            </w:r>
          </w:p>
        </w:tc>
        <w:tc>
          <w:tcPr>
            <w:tcW w:type="dxa" w:w="16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166534"/>
                <w:sz w:val="20"/>
                <w:szCs w:val="20"/>
              </w:rPr>
              <w:t xml:space="preserve">R166,667</w:t>
            </w:r>
          </w:p>
        </w:tc>
        <w:tc>
          <w:tcPr>
            <w:tcW w:type="dxa" w:w="16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R2,000,000</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Sponsored CPD Content</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6B7280"/>
                <w:sz w:val="20"/>
                <w:szCs w:val="20"/>
              </w:rPr>
              <w:t xml:space="preserve">Insurer-sponsored</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 sponsors</w:t>
            </w:r>
          </w:p>
        </w:tc>
        <w:tc>
          <w:tcPr>
            <w:tcW w:type="dxa" w:w="16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166534"/>
                <w:sz w:val="20"/>
                <w:szCs w:val="20"/>
              </w:rPr>
              <w:t xml:space="preserve">R41,667</w:t>
            </w:r>
          </w:p>
        </w:tc>
        <w:tc>
          <w:tcPr>
            <w:tcW w:type="dxa" w:w="16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bCs/>
                <w:color w:val="1F3864"/>
                <w:sz w:val="20"/>
                <w:szCs w:val="20"/>
              </w:rPr>
              <w:t xml:space="preserve">R500,000</w:t>
            </w:r>
          </w:p>
        </w:tc>
      </w:tr>
      <w:tr>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20"/>
                <w:szCs w:val="20"/>
              </w:rPr>
              <w:t xml:space="preserve">TOTAL</w:t>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center"/>
            </w:pPr>
            <w:r>
              <w:rPr>
                <w:rFonts w:ascii="Arial" w:cs="Arial" w:eastAsia="Arial" w:hAnsi="Arial"/>
                <w:b w:val="false"/>
                <w:bCs w:val="false"/>
                <w:color w:val="C9A84C"/>
                <w:sz w:val="20"/>
                <w:szCs w:val="20"/>
              </w:rPr>
              <w:t xml:space="preserve"/>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center"/>
            </w:pPr>
            <w:r>
              <w:rPr>
                <w:rFonts w:ascii="Arial" w:cs="Arial" w:eastAsia="Arial" w:hAnsi="Arial"/>
                <w:b/>
                <w:bCs/>
                <w:color w:val="C9A84C"/>
                <w:sz w:val="20"/>
                <w:szCs w:val="20"/>
              </w:rPr>
              <w:t xml:space="preserve">280+ members</w:t>
            </w:r>
          </w:p>
        </w:tc>
        <w:tc>
          <w:tcPr>
            <w:tcW w:type="dxa" w:w="16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right"/>
            </w:pPr>
            <w:r>
              <w:rPr>
                <w:rFonts w:ascii="Arial" w:cs="Arial" w:eastAsia="Arial" w:hAnsi="Arial"/>
                <w:b/>
                <w:bCs/>
                <w:color w:val="C9A84C"/>
                <w:sz w:val="20"/>
                <w:szCs w:val="20"/>
              </w:rPr>
              <w:t xml:space="preserve">R1,533,334</w:t>
            </w:r>
          </w:p>
        </w:tc>
        <w:tc>
          <w:tcPr>
            <w:tcW w:type="dxa" w:w="16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right"/>
            </w:pPr>
            <w:r>
              <w:rPr>
                <w:rFonts w:ascii="Arial" w:cs="Arial" w:eastAsia="Arial" w:hAnsi="Arial"/>
                <w:b/>
                <w:bCs/>
                <w:color w:val="C9A84C"/>
                <w:sz w:val="20"/>
                <w:szCs w:val="20"/>
              </w:rPr>
              <w:t xml:space="preserve">R18,400,000</w:t>
            </w:r>
          </w:p>
        </w:tc>
      </w:tr>
    </w:tbl>
    <w:p>
      <w:pPr>
        <w:spacing w:after="0" w:before="0" w:line="160"/>
      </w:pPr>
      <w:r>
        <w:t xml:space="preserve"/>
      </w:r>
    </w:p>
    <w:p>
      <w:pPr>
        <w:spacing w:after="120" w:before="0"/>
      </w:pPr>
      <w:r>
        <w:rPr>
          <w:rFonts w:ascii="Arial" w:cs="Arial" w:eastAsia="Arial" w:hAnsi="Arial"/>
          <w:i/>
          <w:iCs/>
          <w:color w:val="6B7280"/>
          <w:sz w:val="18"/>
          <w:szCs w:val="18"/>
        </w:rPr>
        <w:t xml:space="preserve">Note: All figures exclude VAT. Annual billing option (2 months free) available — may shift up to 15% of revenue to lump-sum annual receipts.</w:t>
      </w:r>
    </w:p>
    <w:p>
      <w:pPr>
        <w:spacing w:after="0" w:before="0" w:line="240"/>
      </w:pPr>
      <w:r>
        <w:t xml:space="preserve"/>
      </w:r>
    </w:p>
    <w:p>
      <w:pPr>
        <w:pStyle w:val="Heading2"/>
        <w:spacing w:after="80" w:before="300"/>
      </w:pPr>
      <w:r>
        <w:rPr>
          <w:rFonts w:ascii="Arial" w:cs="Arial" w:eastAsia="Arial" w:hAnsi="Arial"/>
          <w:b/>
          <w:bCs/>
          <w:color w:val="1F3864"/>
          <w:sz w:val="26"/>
          <w:szCs w:val="26"/>
        </w:rPr>
        <w:t xml:space="preserve">5.2  36-Month Phased Revenue Projections</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Metric</w:t>
            </w:r>
          </w:p>
        </w:tc>
        <w:tc>
          <w:tcPr>
            <w:tcW w:type="dxa" w:w="11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3</w:t>
            </w:r>
          </w:p>
        </w:tc>
        <w:tc>
          <w:tcPr>
            <w:tcW w:type="dxa" w:w="11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6</w:t>
            </w:r>
          </w:p>
        </w:tc>
        <w:tc>
          <w:tcPr>
            <w:tcW w:type="dxa" w:w="11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9</w:t>
            </w:r>
          </w:p>
        </w:tc>
        <w:tc>
          <w:tcPr>
            <w:tcW w:type="dxa" w:w="11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12</w:t>
            </w:r>
          </w:p>
        </w:tc>
        <w:tc>
          <w:tcPr>
            <w:tcW w:type="dxa" w:w="11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24</w:t>
            </w:r>
          </w:p>
        </w:tc>
        <w:tc>
          <w:tcPr>
            <w:tcW w:type="dxa" w:w="12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36</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Foundation Members</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80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120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150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200</w:t>
            </w:r>
          </w:p>
        </w:tc>
        <w:tc>
          <w:tcPr>
            <w:tcW w:type="dxa" w:w="1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280</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Practitioner Members</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15</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40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70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100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140</w:t>
            </w:r>
          </w:p>
        </w:tc>
        <w:tc>
          <w:tcPr>
            <w:tcW w:type="dxa" w:w="1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200</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Elite Members</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8</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28</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30</w:t>
            </w:r>
          </w:p>
        </w:tc>
        <w:tc>
          <w:tcPr>
            <w:tcW w:type="dxa" w:w="1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30</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Total Members</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53</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140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218</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280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370</w:t>
            </w:r>
          </w:p>
        </w:tc>
        <w:tc>
          <w:tcPr>
            <w:tcW w:type="dxa" w:w="1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510</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MRR</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R217,500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R625,000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R1,010,000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R1,325,000</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R1,750,000</w:t>
            </w:r>
          </w:p>
        </w:tc>
        <w:tc>
          <w:tcPr>
            <w:tcW w:type="dxa" w:w="1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R2,450,000</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Summit Revenue (annual)</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R250,000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R500,000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R2,000,000</w:t>
            </w:r>
          </w:p>
        </w:tc>
        <w:tc>
          <w:tcPr>
            <w:tcW w:type="dxa" w:w="11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R2,500,000</w:t>
            </w:r>
          </w:p>
        </w:tc>
        <w:tc>
          <w:tcPr>
            <w:tcW w:type="dxa" w:w="12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R3,000,000</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Annual Revenue Run-Rate</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R2.6M</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R7.5M</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R12.1M</w:t>
            </w:r>
          </w:p>
        </w:tc>
        <w:tc>
          <w:tcPr>
            <w:tcW w:type="dxa" w:w="1100"/>
            <w:tcBorders>
              <w:top w:val="single" w:color="D5D0C8" w:sz="4"/>
              <w:left w:val="single" w:color="D5D0C8" w:sz="4"/>
              <w:bottom w:val="single" w:color="D5D0C8" w:sz="4"/>
              <w:right w:val="single" w:color="D5D0C8" w:sz="4"/>
            </w:tcBorders>
            <w:shd w:fill="F7EDD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R15.9M</w:t>
            </w:r>
          </w:p>
        </w:tc>
        <w:tc>
          <w:tcPr>
            <w:tcW w:type="dxa" w:w="11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R21.0M</w:t>
            </w:r>
          </w:p>
        </w:tc>
        <w:tc>
          <w:tcPr>
            <w:tcW w:type="dxa" w:w="12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R29.4M</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5.3  Cost Structure</w:t>
      </w:r>
    </w:p>
    <w:p>
      <w:pPr>
        <w:spacing w:after="120" w:before="0" w:line="276"/>
        <w:jc w:val="both"/>
      </w:pPr>
      <w:r>
        <w:rPr>
          <w:rFonts w:ascii="Arial" w:cs="Arial" w:eastAsia="Arial" w:hAnsi="Arial"/>
          <w:color w:val="111827"/>
          <w:sz w:val="22"/>
          <w:szCs w:val="22"/>
        </w:rPr>
        <w:t xml:space="preserve">The Praeto Compliance Club is a capital-light business. The primary assets — regulatory credentials, expertise, and the compliance template library — are already in place. Incremental costs are minimal:</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763"/>
        <w:gridCol w:w="1763"/>
      </w:tblGrid>
      <w:tr>
        <w:tc>
          <w:tcPr>
            <w:tcW w:type="dxa" w:w="3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Cost Item</w:t>
            </w:r>
          </w:p>
        </w:tc>
        <w:tc>
          <w:tcPr>
            <w:tcW w:type="dxa" w:w="2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Monthly (Launch)</w:t>
            </w:r>
          </w:p>
        </w:tc>
        <w:tc>
          <w:tcPr>
            <w:tcW w:type="dxa" w:w="1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Monthly (Scale)</w:t>
            </w:r>
          </w:p>
        </w:tc>
        <w:tc>
          <w:tcPr>
            <w:tcW w:type="dxa" w:w="1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Notes</w:t>
            </w:r>
          </w:p>
        </w:tc>
      </w:tr>
      <w:tr>
        <w:tc>
          <w:tcPr>
            <w:tcW w:type="dxa" w:w="3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Platform Hosting (cPanel)</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R800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R1,500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Scales with traffic</w:t>
            </w:r>
          </w:p>
        </w:tc>
      </w:tr>
      <w:tr>
        <w:tc>
          <w:tcPr>
            <w:tcW w:type="dxa" w:w="3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Membership Platform SaaS</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R1,500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R3,000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Kajabi or equivalent</w:t>
            </w:r>
          </w:p>
        </w:tc>
      </w:tr>
      <w:tr>
        <w:tc>
          <w:tcPr>
            <w:tcW w:type="dxa" w:w="3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Virtual Assistant (member support)</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R8,000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R16,000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Full-time at scale</w:t>
            </w:r>
          </w:p>
        </w:tc>
      </w:tr>
      <w:tr>
        <w:tc>
          <w:tcPr>
            <w:tcW w:type="dxa" w:w="3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Marketing (LinkedIn/Facebook ads)</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R15,000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R30,000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Primarily digital</w:t>
            </w:r>
          </w:p>
        </w:tc>
      </w:tr>
      <w:tr>
        <w:tc>
          <w:tcPr>
            <w:tcW w:type="dxa" w:w="3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Content Production (video/editing)</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R5,000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R10,000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CPD module production</w:t>
            </w:r>
          </w:p>
        </w:tc>
      </w:tr>
      <w:tr>
        <w:tc>
          <w:tcPr>
            <w:tcW w:type="dxa" w:w="3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Summit Venue &amp; Logistics</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R62,500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Per event, amortised monthly</w:t>
            </w:r>
          </w:p>
        </w:tc>
      </w:tr>
      <w:tr>
        <w:tc>
          <w:tcPr>
            <w:tcW w:type="dxa" w:w="3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Legal &amp; Compliance (annual audit)</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R2,500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R5,000</w:t>
            </w:r>
          </w:p>
        </w:tc>
        <w:tc>
          <w:tcPr>
            <w:tcW w:type="dxa" w:w="176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Steven Sender CA(SA)</w:t>
            </w:r>
          </w:p>
        </w:tc>
      </w:tr>
      <w:tr>
        <w:tc>
          <w:tcPr>
            <w:tcW w:type="dxa" w:w="3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Miscellaneous / Contingency (5%)</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R1,640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right"/>
            </w:pPr>
            <w:r>
              <w:rPr>
                <w:rFonts w:ascii="Arial" w:cs="Arial" w:eastAsia="Arial" w:hAnsi="Arial"/>
                <w:b w:val="false"/>
                <w:bCs w:val="false"/>
                <w:color w:val="DC2626"/>
                <w:sz w:val="20"/>
                <w:szCs w:val="20"/>
              </w:rPr>
              <w:t xml:space="preserve">R6,400</w:t>
            </w:r>
          </w:p>
        </w:tc>
        <w:tc>
          <w:tcPr>
            <w:tcW w:type="dxa" w:w="176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
            </w:r>
          </w:p>
        </w:tc>
      </w:tr>
      <w:tr>
        <w:tc>
          <w:tcPr>
            <w:tcW w:type="dxa" w:w="3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20"/>
                <w:szCs w:val="20"/>
              </w:rPr>
              <w:t xml:space="preserve">TOTAL MONTHLY COSTS</w:t>
            </w:r>
          </w:p>
        </w:tc>
        <w:tc>
          <w:tcPr>
            <w:tcW w:type="dxa" w:w="2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right"/>
            </w:pPr>
            <w:r>
              <w:rPr>
                <w:rFonts w:ascii="Arial" w:cs="Arial" w:eastAsia="Arial" w:hAnsi="Arial"/>
                <w:b/>
                <w:bCs/>
                <w:color w:val="C9A84C"/>
                <w:sz w:val="20"/>
                <w:szCs w:val="20"/>
              </w:rPr>
              <w:t xml:space="preserve">R34,440</w:t>
            </w:r>
          </w:p>
        </w:tc>
        <w:tc>
          <w:tcPr>
            <w:tcW w:type="dxa" w:w="1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right"/>
            </w:pPr>
            <w:r>
              <w:rPr>
                <w:rFonts w:ascii="Arial" w:cs="Arial" w:eastAsia="Arial" w:hAnsi="Arial"/>
                <w:b/>
                <w:bCs/>
                <w:color w:val="C9A84C"/>
                <w:sz w:val="20"/>
                <w:szCs w:val="20"/>
              </w:rPr>
              <w:t xml:space="preserve">R134,400</w:t>
            </w:r>
          </w:p>
        </w:tc>
        <w:tc>
          <w:tcPr>
            <w:tcW w:type="dxa" w:w="176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val="false"/>
                <w:bCs w:val="false"/>
                <w:color w:val="C9A84C"/>
                <w:sz w:val="20"/>
                <w:szCs w:val="20"/>
              </w:rPr>
              <w:t xml:space="preserve"/>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5.4  Profitability</w:t>
      </w:r>
    </w:p>
    <w:p>
      <w:pPr>
        <w:spacing w:after="120" w:before="0" w:line="276"/>
        <w:jc w:val="both"/>
      </w:pPr>
      <w:r>
        <w:rPr>
          <w:rFonts w:ascii="Arial" w:cs="Arial" w:eastAsia="Arial" w:hAnsi="Arial"/>
          <w:color w:val="111827"/>
          <w:sz w:val="22"/>
          <w:szCs w:val="22"/>
        </w:rPr>
        <w:t xml:space="preserve">At Month 3 (53 members, R217,500 MRR) the business exceeds operating costs (R34,440) and is cash-flow positive from launch. At Month 6 (140 members, R625,000 MRR) the net margin exceeds 80%. The model scales without proportional cost increases — the primary content and compliance infrastructure is fixed cost, and additional members generate near-100% incremental margin.</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2"/>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bCs/>
                <w:color w:val="1F3864"/>
                <w:sz w:val="18"/>
                <w:szCs w:val="18"/>
              </w:rPr>
              <w:t xml:space="preserve">BREAK-EVEN ANALYSIS</w:t>
            </w:r>
          </w:p>
        </w:tc>
      </w:tr>
      <w:tr>
        <w:tc>
          <w:tcPr>
            <w:tcW w:type="dxa" w:w="9026"/>
            <w:tcBorders>
              <w:top w:val="none" w:color="FFFFFF" w:sz="0"/>
              <w:left w:val="single" w:color="C9A84C" w:sz="12"/>
              <w:bottom w:val="single" w:color="C9A84C" w:sz="12"/>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val="false"/>
                <w:bCs w:val="false"/>
                <w:color w:val="111827"/>
                <w:sz w:val="22"/>
                <w:szCs w:val="22"/>
              </w:rPr>
              <w:t xml:space="preserve">Break-even is achieved at 14 Foundation members (R35,000 MRR) — representing less than 0.2% of the KZN FSP market. This is achievable within the first week of launch from Berkeley's existing professional network alone.</w:t>
            </w:r>
          </w:p>
        </w:tc>
      </w:tr>
    </w:tbl>
    <w:p>
      <w:pPr>
        <w:spacing w:after="0" w:before="0" w:line="240"/>
      </w:pPr>
      <w:r>
        <w:t xml:space="preserve"/>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6.  90-Day Launch Execution Plan</w:t>
      </w:r>
    </w:p>
    <w:p>
      <w:pPr>
        <w:spacing w:after="120" w:before="0" w:line="276"/>
        <w:jc w:val="both"/>
      </w:pPr>
      <w:r>
        <w:rPr>
          <w:rFonts w:ascii="Arial" w:cs="Arial" w:eastAsia="Arial" w:hAnsi="Arial"/>
          <w:color w:val="111827"/>
          <w:sz w:val="22"/>
          <w:szCs w:val="22"/>
        </w:rPr>
        <w:t xml:space="preserve">The launch plan follows a three-phase model adapted from Grant Cardone's revenue growth framework — Build (Days 1–30), Convert (Days 31–60), Scale (Days 61–90) — with specific KPIs and daily action requirements for each phase.</w:t>
      </w:r>
    </w:p>
    <w:p>
      <w:pPr>
        <w:spacing w:after="0" w:before="0" w:line="160"/>
      </w:pPr>
      <w:r>
        <w:t xml:space="preserve"/>
      </w:r>
    </w:p>
    <w:p>
      <w:pPr>
        <w:pStyle w:val="Heading2"/>
        <w:spacing w:after="80" w:before="300"/>
      </w:pPr>
      <w:r>
        <w:rPr>
          <w:rFonts w:ascii="Arial" w:cs="Arial" w:eastAsia="Arial" w:hAnsi="Arial"/>
          <w:b/>
          <w:bCs/>
          <w:color w:val="1F3864"/>
          <w:sz w:val="26"/>
          <w:szCs w:val="26"/>
        </w:rPr>
        <w:t xml:space="preserve">Phase 1: Infrastructure (Days 1–30)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026"/>
        <w:gridCol w:w="1800"/>
      </w:tblGrid>
      <w:tr>
        <w:tc>
          <w:tcPr>
            <w:tcW w:type="dxa" w:w="1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Week</w:t>
            </w:r>
          </w:p>
        </w:tc>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Focus</w:t>
            </w:r>
          </w:p>
        </w:tc>
        <w:tc>
          <w:tcPr>
            <w:tcW w:type="dxa" w:w="40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Key Actions</w:t>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KPI</w:t>
            </w:r>
          </w:p>
        </w:tc>
      </w:tr>
      <w:tr>
        <w:tc>
          <w:tcPr>
            <w:tcW w:type="dxa" w:w="1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w:t>
            </w:r>
          </w:p>
        </w:tc>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Product Architecture</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Define 3-tier structure · Draft content library · Identify 5 beta members · Register trading name</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Structure complete</w:t>
            </w:r>
          </w:p>
        </w:tc>
      </w:tr>
      <w:tr>
        <w:tc>
          <w:tcPr>
            <w:tcW w:type="dxa" w:w="1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w:t>
            </w:r>
          </w:p>
        </w:tc>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Platform Setup</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Deploy www.praeto.co.za · Upload 4 CPD modules · Build 20-document template library · Brand assets</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Platform live</w:t>
            </w:r>
          </w:p>
        </w:tc>
      </w:tr>
      <w:tr>
        <w:tc>
          <w:tcPr>
            <w:tcW w:type="dxa" w:w="1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3</w:t>
            </w:r>
          </w:p>
        </w:tc>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Authority Positioning</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Record 3 FSCA sanction alert videos · Launch LinkedIn newsletter · Speak in 1 FSP WhatsApp group</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500+ LinkedIn reach</w:t>
            </w:r>
          </w:p>
        </w:tc>
      </w:tr>
      <w:tr>
        <w:tc>
          <w:tcPr>
            <w:tcW w:type="dxa" w:w="1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4</w:t>
            </w:r>
          </w:p>
        </w:tc>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Beta Launch</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Onboard 5 founding beta members · Host first live webinar · Collect 3 testimonials · Fix platform issues</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5 beta members</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Phase 2: Market Penetration (Days 31–60)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026"/>
        <w:gridCol w:w="1800"/>
      </w:tblGrid>
      <w:tr>
        <w:tc>
          <w:tcPr>
            <w:tcW w:type="dxa" w:w="1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Week</w:t>
            </w:r>
          </w:p>
        </w:tc>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Focus</w:t>
            </w:r>
          </w:p>
        </w:tc>
        <w:tc>
          <w:tcPr>
            <w:tcW w:type="dxa" w:w="40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Key Actions</w:t>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KPI</w:t>
            </w:r>
          </w:p>
        </w:tc>
      </w:tr>
      <w:tr>
        <w:tc>
          <w:tcPr>
            <w:tcW w:type="dxa" w:w="1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5–6</w:t>
            </w:r>
          </w:p>
        </w:tc>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Direct Outreach</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Email all FSPs in database · Personal WhatsApp to 50 advisors · Founding rate offer · 10 contacts/day</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30 Foundation / 15 Practitioner</w:t>
            </w:r>
          </w:p>
        </w:tc>
      </w:tr>
      <w:tr>
        <w:tc>
          <w:tcPr>
            <w:tcW w:type="dxa" w:w="1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6–7</w:t>
            </w:r>
          </w:p>
        </w:tc>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Channel Partners</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3 insurer BDM partnerships · FPI KZN CPD recognition · Referral incentive programme · SAIA listing</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3 channel partners</w:t>
            </w:r>
          </w:p>
        </w:tc>
      </w:tr>
      <w:tr>
        <w:tc>
          <w:tcPr>
            <w:tcW w:type="dxa" w:w="1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7–8</w:t>
            </w:r>
          </w:p>
        </w:tc>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Elite Tier Launch</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Personal calls to 10 KI-level advisors · Elite application process · Cap enforcement · Scarcity positioning</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8 Elite members</w:t>
            </w:r>
          </w:p>
        </w:tc>
      </w:tr>
      <w:tr>
        <w:tc>
          <w:tcPr>
            <w:tcW w:type="dxa" w:w="1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8</w:t>
            </w:r>
          </w:p>
        </w:tc>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Content Acceleration</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Weekly FSCA Monday Briefing · 2 videos/week · Second live webinar · FPI CPD application</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R217,500 MRR</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Phase 3: Scale (Days 61–90)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026"/>
        <w:gridCol w:w="1800"/>
      </w:tblGrid>
      <w:tr>
        <w:tc>
          <w:tcPr>
            <w:tcW w:type="dxa" w:w="1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Week</w:t>
            </w:r>
          </w:p>
        </w:tc>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Focus</w:t>
            </w:r>
          </w:p>
        </w:tc>
        <w:tc>
          <w:tcPr>
            <w:tcW w:type="dxa" w:w="40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Key Actions</w:t>
            </w:r>
          </w:p>
        </w:tc>
        <w:tc>
          <w:tcPr>
            <w:tcW w:type="dxa" w:w="1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KPI</w:t>
            </w:r>
          </w:p>
        </w:tc>
      </w:tr>
      <w:tr>
        <w:tc>
          <w:tcPr>
            <w:tcW w:type="dxa" w:w="1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9–10</w:t>
            </w:r>
          </w:p>
        </w:tc>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Systems &amp; Delegation</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Hire VA (R8,000/mo) · Automated email sequences · Referral programme (R2,000/referral) · Automation</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Full onboarding automated</w:t>
            </w:r>
          </w:p>
        </w:tc>
      </w:tr>
      <w:tr>
        <w:tc>
          <w:tcPr>
            <w:tcW w:type="dxa" w:w="1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10–11</w:t>
            </w:r>
          </w:p>
        </w:tc>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National Push</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LinkedIn/Facebook FSP ads (R15,000 budget) · National webinar · White-label CPD insurer deal</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150 total members</w:t>
            </w:r>
          </w:p>
        </w:tc>
      </w:tr>
      <w:tr>
        <w:tc>
          <w:tcPr>
            <w:tcW w:type="dxa" w:w="1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11–12</w:t>
            </w:r>
          </w:p>
        </w:tc>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Inaugural Summit</w:t>
            </w:r>
          </w:p>
        </w:tc>
        <w:tc>
          <w:tcPr>
            <w:tcW w:type="dxa" w:w="4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Host Praeto Compliance Summit Durban (100 delegates) · Event revenue R250,000 · Film for CPD library</w:t>
            </w:r>
          </w:p>
        </w:tc>
        <w:tc>
          <w:tcPr>
            <w:tcW w:type="dxa" w:w="1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R250,000 event revenue</w:t>
            </w:r>
          </w:p>
        </w:tc>
      </w:tr>
      <w:tr>
        <w:tc>
          <w:tcPr>
            <w:tcW w:type="dxa" w:w="1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12</w:t>
            </w:r>
          </w:p>
        </w:tc>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Month 4 Planning</w:t>
            </w:r>
          </w:p>
        </w:tc>
        <w:tc>
          <w:tcPr>
            <w:tcW w:type="dxa" w:w="4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Pricing review · Annual billing launch · 2 insurer CPD sponsorship negotiations · Month 6 target lock</w:t>
            </w:r>
          </w:p>
        </w:tc>
        <w:tc>
          <w:tcPr>
            <w:tcW w:type="dxa" w:w="1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R625,000 MRR path set</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6.1  Daily Operating Rhythm (Berkeley's Schedule)</w:t>
      </w:r>
    </w:p>
    <w:p>
      <w:pPr>
        <w:spacing w:after="120" w:before="0" w:line="276"/>
        <w:jc w:val="both"/>
      </w:pPr>
      <w:r>
        <w:rPr>
          <w:rFonts w:ascii="Arial" w:cs="Arial" w:eastAsia="Arial" w:hAnsi="Arial"/>
          <w:color w:val="111827"/>
          <w:sz w:val="22"/>
          <w:szCs w:val="22"/>
        </w:rPr>
        <w:t xml:space="preserve">The 90-day launch requires Berkeley to commit three hours per day to income-producing activities above and beyond normal Praeto Group operations:</w:t>
      </w:r>
    </w:p>
    <w:p>
      <w:pPr>
        <w:pStyle w:val="ListParagraph"/>
        <w:numPr>
          <w:ilvl w:val="0"/>
          <w:numId w:val="2"/>
        </w:numPr>
        <w:spacing w:after="40" w:before="40"/>
      </w:pPr>
      <w:r>
        <w:rPr>
          <w:rFonts w:ascii="Arial" w:cs="Arial" w:eastAsia="Arial" w:hAnsi="Arial"/>
          <w:color w:val="111827"/>
          <w:sz w:val="22"/>
          <w:szCs w:val="22"/>
        </w:rPr>
        <w:t xml:space="preserve">05:00–06:00: Strategic hour — planning, reading, one new Praeto Compliance Club idea. No email.</w:t>
      </w:r>
    </w:p>
    <w:p>
      <w:pPr>
        <w:pStyle w:val="ListParagraph"/>
        <w:numPr>
          <w:ilvl w:val="0"/>
          <w:numId w:val="2"/>
        </w:numPr>
        <w:spacing w:after="40" w:before="40"/>
      </w:pPr>
      <w:r>
        <w:rPr>
          <w:rFonts w:ascii="Arial" w:cs="Arial" w:eastAsia="Arial" w:hAnsi="Arial"/>
          <w:color w:val="111827"/>
          <w:sz w:val="22"/>
          <w:szCs w:val="22"/>
        </w:rPr>
        <w:t xml:space="preserve">06:00–07:00: Content creation — one LinkedIn post, one video, or one CPD module segment. Daily.</w:t>
      </w:r>
    </w:p>
    <w:p>
      <w:pPr>
        <w:pStyle w:val="ListParagraph"/>
        <w:numPr>
          <w:ilvl w:val="0"/>
          <w:numId w:val="2"/>
        </w:numPr>
        <w:spacing w:after="40" w:before="40"/>
      </w:pPr>
      <w:r>
        <w:rPr>
          <w:rFonts w:ascii="Arial" w:cs="Arial" w:eastAsia="Arial" w:hAnsi="Arial"/>
          <w:color w:val="111827"/>
          <w:sz w:val="22"/>
          <w:szCs w:val="22"/>
        </w:rPr>
        <w:t xml:space="preserve">07:00–09:00: Direct outreach — 10 personal WhatsApp or phone contacts to FSPs. Non-negotiable.</w:t>
      </w:r>
    </w:p>
    <w:p>
      <w:pPr>
        <w:pStyle w:val="ListParagraph"/>
        <w:numPr>
          <w:ilvl w:val="0"/>
          <w:numId w:val="2"/>
        </w:numPr>
        <w:spacing w:after="40" w:before="40"/>
      </w:pPr>
      <w:r>
        <w:rPr>
          <w:rFonts w:ascii="Arial" w:cs="Arial" w:eastAsia="Arial" w:hAnsi="Arial"/>
          <w:color w:val="111827"/>
          <w:sz w:val="22"/>
          <w:szCs w:val="22"/>
        </w:rPr>
        <w:t xml:space="preserve">09:00–13:00: Praeto Group operations — existing client work, Tiespro, Stella at Glenwood.</w:t>
      </w:r>
    </w:p>
    <w:p>
      <w:pPr>
        <w:pStyle w:val="ListParagraph"/>
        <w:numPr>
          <w:ilvl w:val="0"/>
          <w:numId w:val="2"/>
        </w:numPr>
        <w:spacing w:after="40" w:before="40"/>
      </w:pPr>
      <w:r>
        <w:rPr>
          <w:rFonts w:ascii="Arial" w:cs="Arial" w:eastAsia="Arial" w:hAnsi="Arial"/>
          <w:color w:val="111827"/>
          <w:sz w:val="22"/>
          <w:szCs w:val="22"/>
        </w:rPr>
        <w:t xml:space="preserve">13:00–15:00: Member service — compliance queries, ROA reviews, Elite Circle calls.</w:t>
      </w:r>
    </w:p>
    <w:p>
      <w:pPr>
        <w:pStyle w:val="ListParagraph"/>
        <w:numPr>
          <w:ilvl w:val="0"/>
          <w:numId w:val="2"/>
        </w:numPr>
        <w:spacing w:after="40" w:before="40"/>
      </w:pPr>
      <w:r>
        <w:rPr>
          <w:rFonts w:ascii="Arial" w:cs="Arial" w:eastAsia="Arial" w:hAnsi="Arial"/>
          <w:color w:val="111827"/>
          <w:sz w:val="22"/>
          <w:szCs w:val="22"/>
        </w:rPr>
        <w:t xml:space="preserve">15:00–17:00: Partnership and channel development calls — insurer BDMs, FPI, national outreach.</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7.  Marketing Strategy</w:t>
      </w:r>
    </w:p>
    <w:p>
      <w:pPr>
        <w:pStyle w:val="Heading2"/>
        <w:spacing w:after="80" w:before="300"/>
      </w:pPr>
      <w:r>
        <w:rPr>
          <w:rFonts w:ascii="Arial" w:cs="Arial" w:eastAsia="Arial" w:hAnsi="Arial"/>
          <w:b/>
          <w:bCs/>
          <w:color w:val="1F3864"/>
          <w:sz w:val="26"/>
          <w:szCs w:val="26"/>
        </w:rPr>
        <w:t xml:space="preserve">7.1  Core Positioning</w:t>
      </w:r>
    </w:p>
    <w:p>
      <w:pPr>
        <w:spacing w:after="120" w:before="0" w:line="276"/>
        <w:jc w:val="both"/>
      </w:pPr>
      <w:r>
        <w:rPr>
          <w:rFonts w:ascii="Arial" w:cs="Arial" w:eastAsia="Arial" w:hAnsi="Arial"/>
          <w:color w:val="111827"/>
          <w:sz w:val="22"/>
          <w:szCs w:val="22"/>
        </w:rPr>
        <w:t xml:space="preserve">The Praeto Compliance Club marketing strategy is built on a single, powerful insight: the cost of non-compliance (R487,000 average FSCA fine) is 16 times the annual cost of a Foundation membership (R30,000/year). Every piece of marketing — the website, every LinkedIn post, every webinar invitation — anchors this comparison. Fear of sanction, not aspiration toward success, is the primary conversion driver in this market.</w:t>
      </w:r>
    </w:p>
    <w:p>
      <w:pPr>
        <w:pStyle w:val="Heading2"/>
        <w:spacing w:after="80" w:before="300"/>
      </w:pPr>
      <w:r>
        <w:rPr>
          <w:rFonts w:ascii="Arial" w:cs="Arial" w:eastAsia="Arial" w:hAnsi="Arial"/>
          <w:b/>
          <w:bCs/>
          <w:color w:val="1F3864"/>
          <w:sz w:val="26"/>
          <w:szCs w:val="26"/>
        </w:rPr>
        <w:t xml:space="preserve">7.2  Channel Strategy</w:t>
      </w:r>
    </w:p>
    <w:p>
      <w:pPr>
        <w:pStyle w:val="ListParagraph"/>
        <w:numPr>
          <w:ilvl w:val="0"/>
          <w:numId w:val="2"/>
        </w:numPr>
        <w:spacing w:after="40" w:before="40"/>
      </w:pPr>
      <w:r>
        <w:rPr>
          <w:rFonts w:ascii="Arial" w:cs="Arial" w:eastAsia="Arial" w:hAnsi="Arial"/>
          <w:color w:val="111827"/>
          <w:sz w:val="22"/>
          <w:szCs w:val="22"/>
        </w:rPr>
        <w:t xml:space="preserve">LinkedIn (Primary): Daily posts targeting #FSP, #FSCA, #compliance, #KZN financial services. Berkeley's personal authority profile as a 38-year KI is the asset. Target: 5,000 followers within 90 days.</w:t>
      </w:r>
    </w:p>
    <w:p>
      <w:pPr>
        <w:pStyle w:val="ListParagraph"/>
        <w:numPr>
          <w:ilvl w:val="0"/>
          <w:numId w:val="2"/>
        </w:numPr>
        <w:spacing w:after="40" w:before="40"/>
      </w:pPr>
      <w:r>
        <w:rPr>
          <w:rFonts w:ascii="Arial" w:cs="Arial" w:eastAsia="Arial" w:hAnsi="Arial"/>
          <w:color w:val="111827"/>
          <w:sz w:val="22"/>
          <w:szCs w:val="22"/>
        </w:rPr>
        <w:t xml:space="preserve">WhatsApp Groups (High-Conversion): KZN financial advisor WhatsApp groups have 200–500 members and conversion rates of 5–10% from a well-positioned compliance alert. Berkeley's existing network gives immediate access to 10+ such groups.</w:t>
      </w:r>
    </w:p>
    <w:p>
      <w:pPr>
        <w:pStyle w:val="ListParagraph"/>
        <w:numPr>
          <w:ilvl w:val="0"/>
          <w:numId w:val="2"/>
        </w:numPr>
        <w:spacing w:after="40" w:before="40"/>
      </w:pPr>
      <w:r>
        <w:rPr>
          <w:rFonts w:ascii="Arial" w:cs="Arial" w:eastAsia="Arial" w:hAnsi="Arial"/>
          <w:color w:val="111827"/>
          <w:sz w:val="22"/>
          <w:szCs w:val="22"/>
        </w:rPr>
        <w:t xml:space="preserve">FSCA Sanctions as Content: Every FSCA enforcement action is published content. A 200-word post analysing the latest sanctions — posted within 24 hours — positions Praeto as the first responder in the market.</w:t>
      </w:r>
    </w:p>
    <w:p>
      <w:pPr>
        <w:pStyle w:val="ListParagraph"/>
        <w:numPr>
          <w:ilvl w:val="0"/>
          <w:numId w:val="2"/>
        </w:numPr>
        <w:spacing w:after="40" w:before="40"/>
      </w:pPr>
      <w:r>
        <w:rPr>
          <w:rFonts w:ascii="Arial" w:cs="Arial" w:eastAsia="Arial" w:hAnsi="Arial"/>
          <w:color w:val="111827"/>
          <w:sz w:val="22"/>
          <w:szCs w:val="22"/>
        </w:rPr>
        <w:t xml:space="preserve">Email Marketing: Monthly Praeto Compliance Report distributed to all leads and prospects. Provides value before asking for a sale.</w:t>
      </w:r>
    </w:p>
    <w:p>
      <w:pPr>
        <w:pStyle w:val="ListParagraph"/>
        <w:numPr>
          <w:ilvl w:val="0"/>
          <w:numId w:val="2"/>
        </w:numPr>
        <w:spacing w:after="40" w:before="40"/>
      </w:pPr>
      <w:r>
        <w:rPr>
          <w:rFonts w:ascii="Arial" w:cs="Arial" w:eastAsia="Arial" w:hAnsi="Arial"/>
          <w:color w:val="111827"/>
          <w:sz w:val="22"/>
          <w:szCs w:val="22"/>
        </w:rPr>
        <w:t xml:space="preserve">Insurer BDM Partnerships: Short-term and life insurers have direct relationships with thousands of FSPs and actively seek compliant distribution partners. A co-marketing arrangement with 2–3 insurers can deliver 50+ warm leads per month.</w:t>
      </w:r>
    </w:p>
    <w:p>
      <w:pPr>
        <w:pStyle w:val="ListParagraph"/>
        <w:numPr>
          <w:ilvl w:val="0"/>
          <w:numId w:val="2"/>
        </w:numPr>
        <w:spacing w:after="40" w:before="40"/>
      </w:pPr>
      <w:r>
        <w:rPr>
          <w:rFonts w:ascii="Arial" w:cs="Arial" w:eastAsia="Arial" w:hAnsi="Arial"/>
          <w:color w:val="111827"/>
          <w:sz w:val="22"/>
          <w:szCs w:val="22"/>
        </w:rPr>
        <w:t xml:space="preserve">Paid Digital (Month 2+): LinkedIn and Facebook targeting by occupation (Financial Advisor, Financial Planner, Insurance Broker) and geography. R15,000/month budget targeting Category I FSPs nationally.</w:t>
      </w:r>
    </w:p>
    <w:p>
      <w:pPr>
        <w:pStyle w:val="ListParagraph"/>
        <w:numPr>
          <w:ilvl w:val="0"/>
          <w:numId w:val="2"/>
        </w:numPr>
        <w:spacing w:after="40" w:before="40"/>
      </w:pPr>
      <w:r>
        <w:rPr>
          <w:rFonts w:ascii="Arial" w:cs="Arial" w:eastAsia="Arial" w:hAnsi="Arial"/>
          <w:color w:val="111827"/>
          <w:sz w:val="22"/>
          <w:szCs w:val="22"/>
        </w:rPr>
        <w:t xml:space="preserve">Compliance Summits (Quarterly): Each 200-delegate event generates 20–30 membership conversions at R2,500 per event delegate. The event itself is a marketing channel.</w:t>
      </w:r>
    </w:p>
    <w:p>
      <w:pPr>
        <w:pStyle w:val="Heading2"/>
        <w:spacing w:after="80" w:before="300"/>
      </w:pPr>
      <w:r>
        <w:rPr>
          <w:rFonts w:ascii="Arial" w:cs="Arial" w:eastAsia="Arial" w:hAnsi="Arial"/>
          <w:b/>
          <w:bCs/>
          <w:color w:val="1F3864"/>
          <w:sz w:val="26"/>
          <w:szCs w:val="26"/>
        </w:rPr>
        <w:t xml:space="preserve">7.3  Content Strategy</w:t>
      </w:r>
    </w:p>
    <w:p>
      <w:pPr>
        <w:spacing w:after="120" w:before="0" w:line="276"/>
        <w:jc w:val="both"/>
      </w:pPr>
      <w:r>
        <w:rPr>
          <w:rFonts w:ascii="Arial" w:cs="Arial" w:eastAsia="Arial" w:hAnsi="Arial"/>
          <w:color w:val="111827"/>
          <w:sz w:val="22"/>
          <w:szCs w:val="22"/>
        </w:rPr>
        <w:t xml:space="preserve">Berkeley produces one piece of content daily. The editorial calendar follows a weekly cadence:</w:t>
      </w:r>
    </w:p>
    <w:p>
      <w:pPr>
        <w:pStyle w:val="ListParagraph"/>
        <w:numPr>
          <w:ilvl w:val="0"/>
          <w:numId w:val="2"/>
        </w:numPr>
        <w:spacing w:after="40" w:before="40"/>
      </w:pPr>
      <w:r>
        <w:rPr>
          <w:rFonts w:ascii="Arial" w:cs="Arial" w:eastAsia="Arial" w:hAnsi="Arial"/>
          <w:color w:val="111827"/>
          <w:sz w:val="22"/>
          <w:szCs w:val="22"/>
        </w:rPr>
        <w:t xml:space="preserve">Monday: FSCA Monday Briefing — weekly regulatory update posted on LinkedIn and emailed to prospects</w:t>
      </w:r>
    </w:p>
    <w:p>
      <w:pPr>
        <w:pStyle w:val="ListParagraph"/>
        <w:numPr>
          <w:ilvl w:val="0"/>
          <w:numId w:val="2"/>
        </w:numPr>
        <w:spacing w:after="40" w:before="40"/>
      </w:pPr>
      <w:r>
        <w:rPr>
          <w:rFonts w:ascii="Arial" w:cs="Arial" w:eastAsia="Arial" w:hAnsi="Arial"/>
          <w:color w:val="111827"/>
          <w:sz w:val="22"/>
          <w:szCs w:val="22"/>
        </w:rPr>
        <w:t xml:space="preserve">Tuesday: Compliance tip or template highlight (drives awareness of the template library)</w:t>
      </w:r>
    </w:p>
    <w:p>
      <w:pPr>
        <w:pStyle w:val="ListParagraph"/>
        <w:numPr>
          <w:ilvl w:val="0"/>
          <w:numId w:val="2"/>
        </w:numPr>
        <w:spacing w:after="40" w:before="40"/>
      </w:pPr>
      <w:r>
        <w:rPr>
          <w:rFonts w:ascii="Arial" w:cs="Arial" w:eastAsia="Arial" w:hAnsi="Arial"/>
          <w:color w:val="111827"/>
          <w:sz w:val="22"/>
          <w:szCs w:val="22"/>
        </w:rPr>
        <w:t xml:space="preserve">Wednesday: Case study — anonymised FSP that faced sanctions and what they should have had in place</w:t>
      </w:r>
    </w:p>
    <w:p>
      <w:pPr>
        <w:pStyle w:val="ListParagraph"/>
        <w:numPr>
          <w:ilvl w:val="0"/>
          <w:numId w:val="2"/>
        </w:numPr>
        <w:spacing w:after="40" w:before="40"/>
      </w:pPr>
      <w:r>
        <w:rPr>
          <w:rFonts w:ascii="Arial" w:cs="Arial" w:eastAsia="Arial" w:hAnsi="Arial"/>
          <w:color w:val="111827"/>
          <w:sz w:val="22"/>
          <w:szCs w:val="22"/>
        </w:rPr>
        <w:t xml:space="preserve">Thursday: RE examination insight or CPD module preview</w:t>
      </w:r>
    </w:p>
    <w:p>
      <w:pPr>
        <w:pStyle w:val="ListParagraph"/>
        <w:numPr>
          <w:ilvl w:val="0"/>
          <w:numId w:val="2"/>
        </w:numPr>
        <w:spacing w:after="40" w:before="40"/>
      </w:pPr>
      <w:r>
        <w:rPr>
          <w:rFonts w:ascii="Arial" w:cs="Arial" w:eastAsia="Arial" w:hAnsi="Arial"/>
          <w:color w:val="111827"/>
          <w:sz w:val="22"/>
          <w:szCs w:val="22"/>
        </w:rPr>
        <w:t xml:space="preserve">Friday: Summit announcement, member spotlight, or industry observation</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8.  Operational Plan</w:t>
      </w:r>
    </w:p>
    <w:p>
      <w:pPr>
        <w:pStyle w:val="Heading2"/>
        <w:spacing w:after="80" w:before="300"/>
      </w:pPr>
      <w:r>
        <w:rPr>
          <w:rFonts w:ascii="Arial" w:cs="Arial" w:eastAsia="Arial" w:hAnsi="Arial"/>
          <w:b/>
          <w:bCs/>
          <w:color w:val="1F3864"/>
          <w:sz w:val="26"/>
          <w:szCs w:val="26"/>
        </w:rPr>
        <w:t xml:space="preserve">8.1  Technology Stack</w:t>
      </w:r>
    </w:p>
    <w:p>
      <w:pPr>
        <w:pStyle w:val="ListParagraph"/>
        <w:numPr>
          <w:ilvl w:val="0"/>
          <w:numId w:val="2"/>
        </w:numPr>
        <w:spacing w:after="40" w:before="40"/>
      </w:pPr>
      <w:r>
        <w:rPr>
          <w:rFonts w:ascii="Arial" w:cs="Arial" w:eastAsia="Arial" w:hAnsi="Arial"/>
          <w:color w:val="111827"/>
          <w:sz w:val="22"/>
          <w:szCs w:val="22"/>
        </w:rPr>
        <w:t xml:space="preserve">Hosting: cPanel shared/VPS hosting at www.praeto.co.za — deployed and live</w:t>
      </w:r>
    </w:p>
    <w:p>
      <w:pPr>
        <w:pStyle w:val="ListParagraph"/>
        <w:numPr>
          <w:ilvl w:val="0"/>
          <w:numId w:val="2"/>
        </w:numPr>
        <w:spacing w:after="40" w:before="40"/>
      </w:pPr>
      <w:r>
        <w:rPr>
          <w:rFonts w:ascii="Arial" w:cs="Arial" w:eastAsia="Arial" w:hAnsi="Arial"/>
          <w:color w:val="111827"/>
          <w:sz w:val="22"/>
          <w:szCs w:val="22"/>
        </w:rPr>
        <w:t xml:space="preserve">Member Portal: Custom React application with CPD tracking, template library, AI advisor, FSCA alerts</w:t>
      </w:r>
    </w:p>
    <w:p>
      <w:pPr>
        <w:pStyle w:val="ListParagraph"/>
        <w:numPr>
          <w:ilvl w:val="0"/>
          <w:numId w:val="2"/>
        </w:numPr>
        <w:spacing w:after="40" w:before="40"/>
      </w:pPr>
      <w:r>
        <w:rPr>
          <w:rFonts w:ascii="Arial" w:cs="Arial" w:eastAsia="Arial" w:hAnsi="Arial"/>
          <w:color w:val="111827"/>
          <w:sz w:val="22"/>
          <w:szCs w:val="22"/>
        </w:rPr>
        <w:t xml:space="preserve">Admin Panel: Full operations dashboard — member management, revenue analytics, alert broadcasting</w:t>
      </w:r>
    </w:p>
    <w:p>
      <w:pPr>
        <w:pStyle w:val="ListParagraph"/>
        <w:numPr>
          <w:ilvl w:val="0"/>
          <w:numId w:val="2"/>
        </w:numPr>
        <w:spacing w:after="40" w:before="40"/>
      </w:pPr>
      <w:r>
        <w:rPr>
          <w:rFonts w:ascii="Arial" w:cs="Arial" w:eastAsia="Arial" w:hAnsi="Arial"/>
          <w:color w:val="111827"/>
          <w:sz w:val="22"/>
          <w:szCs w:val="22"/>
        </w:rPr>
        <w:t xml:space="preserve">AI Integration: Anthropic Claude API powering the member-facing AI Compliance Advisor and Berkeley's AI Broadcast Writer for communications</w:t>
      </w:r>
    </w:p>
    <w:p>
      <w:pPr>
        <w:pStyle w:val="ListParagraph"/>
        <w:numPr>
          <w:ilvl w:val="0"/>
          <w:numId w:val="2"/>
        </w:numPr>
        <w:spacing w:after="40" w:before="40"/>
      </w:pPr>
      <w:r>
        <w:rPr>
          <w:rFonts w:ascii="Arial" w:cs="Arial" w:eastAsia="Arial" w:hAnsi="Arial"/>
          <w:color w:val="111827"/>
          <w:sz w:val="22"/>
          <w:szCs w:val="22"/>
        </w:rPr>
        <w:t xml:space="preserve">Email: Professional email via cPanel (members@praeto.co.za, admin@praeto.co.za)</w:t>
      </w:r>
    </w:p>
    <w:p>
      <w:pPr>
        <w:pStyle w:val="ListParagraph"/>
        <w:numPr>
          <w:ilvl w:val="0"/>
          <w:numId w:val="2"/>
        </w:numPr>
        <w:spacing w:after="40" w:before="40"/>
      </w:pPr>
      <w:r>
        <w:rPr>
          <w:rFonts w:ascii="Arial" w:cs="Arial" w:eastAsia="Arial" w:hAnsi="Arial"/>
          <w:color w:val="111827"/>
          <w:sz w:val="22"/>
          <w:szCs w:val="22"/>
        </w:rPr>
        <w:t xml:space="preserve">Payment Processing: PayFast or Peach Payments integration (Month 2) for automated debit order billing</w:t>
      </w:r>
    </w:p>
    <w:p>
      <w:pPr>
        <w:pStyle w:val="Heading2"/>
        <w:spacing w:after="80" w:before="300"/>
      </w:pPr>
      <w:r>
        <w:rPr>
          <w:rFonts w:ascii="Arial" w:cs="Arial" w:eastAsia="Arial" w:hAnsi="Arial"/>
          <w:b/>
          <w:bCs/>
          <w:color w:val="1F3864"/>
          <w:sz w:val="26"/>
          <w:szCs w:val="26"/>
        </w:rPr>
        <w:t xml:space="preserve">8.2  Team Structure — Launch through Month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Role</w:t>
            </w:r>
          </w:p>
        </w:tc>
        <w:tc>
          <w:tcPr>
            <w:tcW w:type="dxa" w:w="2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Person</w:t>
            </w:r>
          </w:p>
        </w:tc>
        <w:tc>
          <w:tcPr>
            <w:tcW w:type="dxa" w:w="2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Capacity</w:t>
            </w:r>
          </w:p>
        </w:tc>
        <w:tc>
          <w:tcPr>
            <w:tcW w:type="dxa" w:w="20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Cost</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Founder / KI / Content Lead</w:t>
            </w:r>
          </w:p>
        </w:tc>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Berkeley Pretorius</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3 hrs/day dedicated</w:t>
            </w:r>
          </w:p>
        </w:tc>
        <w:tc>
          <w:tcPr>
            <w:tcW w:type="dxa" w:w="2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Owner equity</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Managing Director (Ops)</w:t>
            </w:r>
          </w:p>
        </w:tc>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Keshnee Pretorius</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Part-time support</w:t>
            </w:r>
          </w:p>
        </w:tc>
        <w:tc>
          <w:tcPr>
            <w:tcW w:type="dxa" w:w="2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Existing salary</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Member Support VA</w:t>
            </w:r>
          </w:p>
        </w:tc>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TBD — hire Month 2</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Full-time</w:t>
            </w:r>
          </w:p>
        </w:tc>
        <w:tc>
          <w:tcPr>
            <w:tcW w:type="dxa" w:w="2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R8,000/month</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Content Editor / Video</w:t>
            </w:r>
          </w:p>
        </w:tc>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TBD — hire Month 3</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Part-time</w:t>
            </w:r>
          </w:p>
        </w:tc>
        <w:tc>
          <w:tcPr>
            <w:tcW w:type="dxa" w:w="2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R5,000/month</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Accountant</w:t>
            </w:r>
          </w:p>
        </w:tc>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Augustine K. Mulenga</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Monthly</w:t>
            </w:r>
          </w:p>
        </w:tc>
        <w:tc>
          <w:tcPr>
            <w:tcW w:type="dxa" w:w="2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Existing relationship</w:t>
            </w:r>
          </w:p>
        </w:tc>
      </w:tr>
      <w:tr>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Auditor</w:t>
            </w:r>
          </w:p>
        </w:tc>
        <w:tc>
          <w:tcPr>
            <w:tcW w:type="dxa" w:w="2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Steven Sender CA(SA)</w:t>
            </w:r>
          </w:p>
        </w:tc>
        <w:tc>
          <w:tcPr>
            <w:tcW w:type="dxa" w:w="2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Annual</w:t>
            </w:r>
          </w:p>
        </w:tc>
        <w:tc>
          <w:tcPr>
            <w:tcW w:type="dxa" w:w="20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Existing relationship</w:t>
            </w:r>
          </w:p>
        </w:tc>
      </w:tr>
      <w:tr>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Legal</w:t>
            </w:r>
          </w:p>
        </w:tc>
        <w:tc>
          <w:tcPr>
            <w:tcW w:type="dxa" w:w="2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Nagesh Maharaj Attorneys</w:t>
            </w:r>
          </w:p>
        </w:tc>
        <w:tc>
          <w:tcPr>
            <w:tcW w:type="dxa" w:w="2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Ad hoc</w:t>
            </w:r>
          </w:p>
        </w:tc>
        <w:tc>
          <w:tcPr>
            <w:tcW w:type="dxa" w:w="2026"/>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Existing relationship</w:t>
            </w:r>
          </w:p>
        </w:tc>
      </w:tr>
    </w:tbl>
    <w:p>
      <w:pPr>
        <w:spacing w:after="0" w:before="0" w:line="240"/>
      </w:pPr>
      <w:r>
        <w:t xml:space="preserve"/>
      </w:r>
    </w:p>
    <w:p>
      <w:pPr>
        <w:pStyle w:val="Heading2"/>
        <w:spacing w:after="80" w:before="300"/>
      </w:pPr>
      <w:r>
        <w:rPr>
          <w:rFonts w:ascii="Arial" w:cs="Arial" w:eastAsia="Arial" w:hAnsi="Arial"/>
          <w:b/>
          <w:bCs/>
          <w:color w:val="1F3864"/>
          <w:sz w:val="26"/>
          <w:szCs w:val="26"/>
        </w:rPr>
        <w:t xml:space="preserve">8.3  Regulatory Obligations</w:t>
      </w:r>
    </w:p>
    <w:p>
      <w:pPr>
        <w:spacing w:after="120" w:before="0" w:line="276"/>
        <w:jc w:val="both"/>
      </w:pPr>
      <w:r>
        <w:rPr>
          <w:rFonts w:ascii="Arial" w:cs="Arial" w:eastAsia="Arial" w:hAnsi="Arial"/>
          <w:color w:val="111827"/>
          <w:sz w:val="22"/>
          <w:szCs w:val="22"/>
        </w:rPr>
        <w:t xml:space="preserve">The Praeto Compliance Club operates within the existing regulatory framework of FSP 1457. No new FSCA licences are required. The business model is structured as an information and training service — not as financial advice or as a cell captive operator — placing it within Praeto's existing authorisation scope. Key ongoing obligations include:</w:t>
      </w:r>
    </w:p>
    <w:p>
      <w:pPr>
        <w:pStyle w:val="ListParagraph"/>
        <w:numPr>
          <w:ilvl w:val="0"/>
          <w:numId w:val="2"/>
        </w:numPr>
        <w:spacing w:after="40" w:before="40"/>
      </w:pPr>
      <w:r>
        <w:rPr>
          <w:rFonts w:ascii="Arial" w:cs="Arial" w:eastAsia="Arial" w:hAnsi="Arial"/>
          <w:color w:val="111827"/>
          <w:sz w:val="22"/>
          <w:szCs w:val="22"/>
        </w:rPr>
        <w:t xml:space="preserve">FSCA Annual Compliance Report and Section 19(3) financial statements (existing obligation under FSP 1457)</w:t>
      </w:r>
    </w:p>
    <w:p>
      <w:pPr>
        <w:pStyle w:val="ListParagraph"/>
        <w:numPr>
          <w:ilvl w:val="0"/>
          <w:numId w:val="2"/>
        </w:numPr>
        <w:spacing w:after="40" w:before="40"/>
      </w:pPr>
      <w:r>
        <w:rPr>
          <w:rFonts w:ascii="Arial" w:cs="Arial" w:eastAsia="Arial" w:hAnsi="Arial"/>
          <w:color w:val="111827"/>
          <w:sz w:val="22"/>
          <w:szCs w:val="22"/>
        </w:rPr>
        <w:t xml:space="preserve">TETA accreditation maintenance for Tiespro Training Institute (existing obligation)</w:t>
      </w:r>
    </w:p>
    <w:p>
      <w:pPr>
        <w:pStyle w:val="ListParagraph"/>
        <w:numPr>
          <w:ilvl w:val="0"/>
          <w:numId w:val="2"/>
        </w:numPr>
        <w:spacing w:after="40" w:before="40"/>
      </w:pPr>
      <w:r>
        <w:rPr>
          <w:rFonts w:ascii="Arial" w:cs="Arial" w:eastAsia="Arial" w:hAnsi="Arial"/>
          <w:color w:val="111827"/>
          <w:sz w:val="22"/>
          <w:szCs w:val="22"/>
        </w:rPr>
        <w:t xml:space="preserve">CPD accreditation submissions for each new module through the TETA/QCTO framework</w:t>
      </w:r>
    </w:p>
    <w:p>
      <w:pPr>
        <w:pStyle w:val="ListParagraph"/>
        <w:numPr>
          <w:ilvl w:val="0"/>
          <w:numId w:val="2"/>
        </w:numPr>
        <w:spacing w:after="40" w:before="40"/>
      </w:pPr>
      <w:r>
        <w:rPr>
          <w:rFonts w:ascii="Arial" w:cs="Arial" w:eastAsia="Arial" w:hAnsi="Arial"/>
          <w:color w:val="111827"/>
          <w:sz w:val="22"/>
          <w:szCs w:val="22"/>
        </w:rPr>
        <w:t xml:space="preserve">Annual PI insurance renewal (Praeto Risk &amp; Insurance Management Solutions — existing obligation)</w:t>
      </w:r>
    </w:p>
    <w:p>
      <w:pPr>
        <w:pStyle w:val="ListParagraph"/>
        <w:numPr>
          <w:ilvl w:val="0"/>
          <w:numId w:val="2"/>
        </w:numPr>
        <w:spacing w:after="40" w:before="40"/>
      </w:pPr>
      <w:r>
        <w:rPr>
          <w:rFonts w:ascii="Arial" w:cs="Arial" w:eastAsia="Arial" w:hAnsi="Arial"/>
          <w:color w:val="111827"/>
          <w:sz w:val="22"/>
          <w:szCs w:val="22"/>
        </w:rPr>
        <w:t xml:space="preserve">POPIA compliance for member personal information (privacy notice, data processing agreements)</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9.  Risk Analysis &amp; Mitigation</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013"/>
        <w:gridCol w:w="3013"/>
      </w:tblGrid>
      <w:tr>
        <w:tc>
          <w:tcPr>
            <w:tcW w:type="dxa" w:w="22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Risk</w:t>
            </w:r>
          </w:p>
        </w:tc>
        <w:tc>
          <w:tcPr>
            <w:tcW w:type="dxa" w:w="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Rating</w:t>
            </w:r>
          </w:p>
        </w:tc>
        <w:tc>
          <w:tcPr>
            <w:tcW w:type="dxa" w:w="301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Impact</w:t>
            </w:r>
          </w:p>
        </w:tc>
        <w:tc>
          <w:tcPr>
            <w:tcW w:type="dxa" w:w="301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Mitigation</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FSCA reduces enforcement activity</w:t>
            </w:r>
          </w:p>
        </w:tc>
        <w:tc>
          <w:tcPr>
            <w:tcW w:type="dxa" w:w="800"/>
            <w:tcBorders>
              <w:top w:val="single" w:color="D5D0C8" w:sz="4"/>
              <w:left w:val="single" w:color="D5D0C8" w:sz="4"/>
              <w:bottom w:val="single" w:color="D5D0C8" w:sz="4"/>
              <w:right w:val="single" w:color="D5D0C8" w:sz="4"/>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Reduces fear-based demand trigger but compliance remains mandatory</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Position on obligation (CPD, templates) not just sanction risk</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Key person dependency (Berkeley)</w:t>
            </w:r>
          </w:p>
        </w:tc>
        <w:tc>
          <w:tcPr>
            <w:tcW w:type="dxa" w:w="800"/>
            <w:tcBorders>
              <w:top w:val="single" w:color="D5D0C8" w:sz="4"/>
              <w:left w:val="single" w:color="D5D0C8" w:sz="4"/>
              <w:bottom w:val="single" w:color="D5D0C8" w:sz="4"/>
              <w:right w:val="single" w:color="D5D0C8"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30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Platform value depends on Berkeley's active KI status</w:t>
            </w:r>
          </w:p>
        </w:tc>
        <w:tc>
          <w:tcPr>
            <w:tcW w:type="dxa" w:w="30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Build content library and AI advisor as scalable assets; grow team</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Competitor enters market</w:t>
            </w:r>
          </w:p>
        </w:tc>
        <w:tc>
          <w:tcPr>
            <w:tcW w:type="dxa" w:w="800"/>
            <w:tcBorders>
              <w:top w:val="single" w:color="D5D0C8" w:sz="4"/>
              <w:left w:val="single" w:color="D5D0C8" w:sz="4"/>
              <w:bottom w:val="single" w:color="D5D0C8" w:sz="4"/>
              <w:right w:val="single" w:color="D5D0C8"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Large compliance firms or INSETA could develop a similar product</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First-mover advantage; community, content depth, and KI authority are difficult to replicate</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Member churn exceeds acquisition</w:t>
            </w:r>
          </w:p>
        </w:tc>
        <w:tc>
          <w:tcPr>
            <w:tcW w:type="dxa" w:w="800"/>
            <w:tcBorders>
              <w:top w:val="single" w:color="D5D0C8" w:sz="4"/>
              <w:left w:val="single" w:color="D5D0C8" w:sz="4"/>
              <w:bottom w:val="single" w:color="D5D0C8" w:sz="4"/>
              <w:right w:val="single" w:color="D5D0C8" w:sz="4"/>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30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MRR growth stalls if churn &gt; 5%/month</w:t>
            </w:r>
          </w:p>
        </w:tc>
        <w:tc>
          <w:tcPr>
            <w:tcW w:type="dxa" w:w="30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Deliver real regulatory value monthly; FSCA alert service creates habitual dependency</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Technology platform failure</w:t>
            </w:r>
          </w:p>
        </w:tc>
        <w:tc>
          <w:tcPr>
            <w:tcW w:type="dxa" w:w="800"/>
            <w:tcBorders>
              <w:top w:val="single" w:color="D5D0C8" w:sz="4"/>
              <w:left w:val="single" w:color="D5D0C8" w:sz="4"/>
              <w:bottom w:val="single" w:color="D5D0C8" w:sz="4"/>
              <w:right w:val="single" w:color="D5D0C8" w:sz="4"/>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Member access lost; reputational damage</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Daily automated backups; cPanel redundancy; simple stack with minimal dependencies</w:t>
            </w:r>
          </w:p>
        </w:tc>
      </w:tr>
      <w:tr>
        <w:tc>
          <w:tcPr>
            <w:tcW w:type="dxa" w:w="22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POPIA / data breach</w:t>
            </w:r>
          </w:p>
        </w:tc>
        <w:tc>
          <w:tcPr>
            <w:tcW w:type="dxa" w:w="800"/>
            <w:tcBorders>
              <w:top w:val="single" w:color="D5D0C8" w:sz="4"/>
              <w:left w:val="single" w:color="D5D0C8" w:sz="4"/>
              <w:bottom w:val="single" w:color="D5D0C8" w:sz="4"/>
              <w:right w:val="single" w:color="D5D0C8" w:sz="4"/>
            </w:tcBorders>
            <w:shd w:fill="DCFCE7" w:val="clear"/>
            <w:tcMar>
              <w:top w:type="dxa" w:w="80"/>
              <w:left w:type="dxa" w:w="120"/>
              <w:bottom w:type="dxa" w:w="80"/>
              <w:right w:type="dxa" w:w="120"/>
            </w:tcMar>
          </w:tcPr>
          <w:p>
            <w:pPr>
              <w:jc w:val="center"/>
            </w:pPr>
            <w:r>
              <w:rPr>
                <w:rFonts w:ascii="Arial" w:cs="Arial" w:eastAsia="Arial" w:hAnsi="Arial"/>
                <w:b/>
                <w:bCs/>
                <w:color w:val="166534"/>
                <w:sz w:val="20"/>
                <w:szCs w:val="20"/>
              </w:rPr>
              <w:t xml:space="preserve">Low</w:t>
            </w:r>
          </w:p>
        </w:tc>
        <w:tc>
          <w:tcPr>
            <w:tcW w:type="dxa" w:w="30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Member personal information exposure</w:t>
            </w:r>
          </w:p>
        </w:tc>
        <w:tc>
          <w:tcPr>
            <w:tcW w:type="dxa" w:w="30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Minimise PII collection; encrypted hosting; POPIA-compliant privacy framework</w:t>
            </w:r>
          </w:p>
        </w:tc>
      </w:tr>
      <w:tr>
        <w:tc>
          <w:tcPr>
            <w:tcW w:type="dxa" w:w="22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Slow initial member acquisition</w:t>
            </w:r>
          </w:p>
        </w:tc>
        <w:tc>
          <w:tcPr>
            <w:tcW w:type="dxa" w:w="800"/>
            <w:tcBorders>
              <w:top w:val="single" w:color="D5D0C8" w:sz="4"/>
              <w:left w:val="single" w:color="D5D0C8" w:sz="4"/>
              <w:bottom w:val="single" w:color="D5D0C8" w:sz="4"/>
              <w:right w:val="single" w:color="D5D0C8" w:sz="4"/>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Medium</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6B7280"/>
                <w:sz w:val="20"/>
                <w:szCs w:val="20"/>
              </w:rPr>
              <w:t xml:space="preserve">Delays break-even and early revenue</w:t>
            </w:r>
          </w:p>
        </w:tc>
        <w:tc>
          <w:tcPr>
            <w:tcW w:type="dxa" w:w="30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Break-even at 14 members — achievable in Week 1 from Berkeley's existing network</w:t>
            </w:r>
          </w:p>
        </w:tc>
      </w:tr>
    </w:tbl>
    <w:p>
      <w:pPr>
        <w:spacing w:after="0" w:before="0" w:line="320"/>
      </w:pPr>
      <w:r>
        <w:t xml:space="preserve"/>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10.  Strategic Milestones &amp; Success Metrics</w:t>
      </w:r>
    </w:p>
    <w:p>
      <w:pPr>
        <w:pStyle w:val="Heading2"/>
        <w:spacing w:after="80" w:before="300"/>
      </w:pPr>
      <w:r>
        <w:rPr>
          <w:rFonts w:ascii="Arial" w:cs="Arial" w:eastAsia="Arial" w:hAnsi="Arial"/>
          <w:b/>
          <w:bCs/>
          <w:color w:val="1F3864"/>
          <w:sz w:val="26"/>
          <w:szCs w:val="26"/>
        </w:rPr>
        <w:t xml:space="preserve">10.1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KPI</w:t>
            </w:r>
          </w:p>
        </w:tc>
        <w:tc>
          <w:tcPr>
            <w:tcW w:type="dxa" w:w="1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1</w:t>
            </w:r>
          </w:p>
        </w:tc>
        <w:tc>
          <w:tcPr>
            <w:tcW w:type="dxa" w:w="1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3</w:t>
            </w:r>
          </w:p>
        </w:tc>
        <w:tc>
          <w:tcPr>
            <w:tcW w:type="dxa" w:w="15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6</w:t>
            </w:r>
          </w:p>
        </w:tc>
        <w:tc>
          <w:tcPr>
            <w:tcW w:type="dxa" w:w="1526"/>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Month 12</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Total Active Members</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 (beta)</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53</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140</w:t>
            </w:r>
          </w:p>
        </w:tc>
        <w:tc>
          <w:tcPr>
            <w:tcW w:type="dxa" w:w="1526"/>
            <w:tcBorders>
              <w:top w:val="single" w:color="D5D0C8" w:sz="4"/>
              <w:left w:val="single" w:color="D5D0C8" w:sz="4"/>
              <w:bottom w:val="single" w:color="D5D0C8" w:sz="4"/>
              <w:right w:val="single" w:color="D5D0C8" w:sz="4"/>
            </w:tcBorders>
            <w:shd w:fill="F7EDD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280</w:t>
            </w:r>
          </w:p>
        </w:tc>
      </w:tr>
      <w:tr>
        <w:tc>
          <w:tcPr>
            <w:tcW w:type="dxa" w:w="3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Monthly Recurring Revenue</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R12,500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R217,500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R625,000</w:t>
            </w:r>
          </w:p>
        </w:tc>
        <w:tc>
          <w:tcPr>
            <w:tcW w:type="dxa" w:w="15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R1,325,000</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Elite KI Circle Seats Filled</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0</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8</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20</w:t>
            </w:r>
          </w:p>
        </w:tc>
        <w:tc>
          <w:tcPr>
            <w:tcW w:type="dxa" w:w="1526"/>
            <w:tcBorders>
              <w:top w:val="single" w:color="D5D0C8" w:sz="4"/>
              <w:left w:val="single" w:color="D5D0C8" w:sz="4"/>
              <w:bottom w:val="single" w:color="D5D0C8" w:sz="4"/>
              <w:right w:val="single" w:color="D5D0C8" w:sz="4"/>
            </w:tcBorders>
            <w:shd w:fill="F7EDD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30 (full)</w:t>
            </w:r>
          </w:p>
        </w:tc>
      </w:tr>
      <w:tr>
        <w:tc>
          <w:tcPr>
            <w:tcW w:type="dxa" w:w="3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LinkedIn Followers</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500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2,000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5,000</w:t>
            </w:r>
          </w:p>
        </w:tc>
        <w:tc>
          <w:tcPr>
            <w:tcW w:type="dxa" w:w="15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10,000+</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CPD Hours Delivered (all members)</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50</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520</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2,100</w:t>
            </w:r>
          </w:p>
        </w:tc>
        <w:tc>
          <w:tcPr>
            <w:tcW w:type="dxa" w:w="1526"/>
            <w:tcBorders>
              <w:top w:val="single" w:color="D5D0C8" w:sz="4"/>
              <w:left w:val="single" w:color="D5D0C8" w:sz="4"/>
              <w:bottom w:val="single" w:color="D5D0C8" w:sz="4"/>
              <w:right w:val="single" w:color="D5D0C8" w:sz="4"/>
            </w:tcBorders>
            <w:shd w:fill="F7EDD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5,600</w:t>
            </w:r>
          </w:p>
        </w:tc>
      </w:tr>
      <w:tr>
        <w:tc>
          <w:tcPr>
            <w:tcW w:type="dxa" w:w="3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Template Downloads</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20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300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900</w:t>
            </w:r>
          </w:p>
        </w:tc>
        <w:tc>
          <w:tcPr>
            <w:tcW w:type="dxa" w:w="15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2,500</w:t>
            </w:r>
          </w:p>
        </w:tc>
      </w:tr>
      <w:tr>
        <w:tc>
          <w:tcPr>
            <w:tcW w:type="dxa" w:w="30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Churn Rate (monthly)</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&lt; 3%</w:t>
            </w:r>
          </w:p>
        </w:tc>
        <w:tc>
          <w:tcPr>
            <w:tcW w:type="dxa" w:w="15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&lt; 3%</w:t>
            </w:r>
          </w:p>
        </w:tc>
        <w:tc>
          <w:tcPr>
            <w:tcW w:type="dxa" w:w="1526"/>
            <w:tcBorders>
              <w:top w:val="single" w:color="D5D0C8" w:sz="4"/>
              <w:left w:val="single" w:color="D5D0C8" w:sz="4"/>
              <w:bottom w:val="single" w:color="D5D0C8" w:sz="4"/>
              <w:right w:val="single" w:color="D5D0C8" w:sz="4"/>
            </w:tcBorders>
            <w:shd w:fill="F7EDD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&lt; 2%</w:t>
            </w:r>
          </w:p>
        </w:tc>
      </w:tr>
      <w:tr>
        <w:tc>
          <w:tcPr>
            <w:tcW w:type="dxa" w:w="30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Net Promoter Score</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&gt; 60</w:t>
            </w:r>
          </w:p>
        </w:tc>
        <w:tc>
          <w:tcPr>
            <w:tcW w:type="dxa" w:w="15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val="false"/>
                <w:bCs w:val="false"/>
                <w:color w:val="111827"/>
                <w:sz w:val="20"/>
                <w:szCs w:val="20"/>
              </w:rPr>
              <w:t xml:space="preserve">&gt; 65</w:t>
            </w:r>
          </w:p>
        </w:tc>
        <w:tc>
          <w:tcPr>
            <w:tcW w:type="dxa" w:w="1526"/>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&gt; 70</w:t>
            </w:r>
          </w:p>
        </w:tc>
      </w:tr>
    </w:tbl>
    <w:p>
      <w:pPr>
        <w:spacing w:after="0" w:before="0" w:line="320"/>
      </w:pPr>
      <w:r>
        <w:t xml:space="preserve"/>
      </w:r>
    </w:p>
    <w:p>
      <w:pPr>
        <w:pStyle w:val="Heading2"/>
        <w:spacing w:after="80" w:before="300"/>
      </w:pPr>
      <w:r>
        <w:rPr>
          <w:rFonts w:ascii="Arial" w:cs="Arial" w:eastAsia="Arial" w:hAnsi="Arial"/>
          <w:b/>
          <w:bCs/>
          <w:color w:val="1F3864"/>
          <w:sz w:val="26"/>
          <w:szCs w:val="26"/>
        </w:rPr>
        <w:t xml:space="preserve">10.2  Strategic Milestones</w:t>
      </w:r>
    </w:p>
    <w:p>
      <w:pPr>
        <w:pStyle w:val="ListParagraph"/>
        <w:numPr>
          <w:ilvl w:val="0"/>
          <w:numId w:val="3"/>
        </w:numPr>
        <w:spacing w:after="40" w:before="40"/>
      </w:pPr>
      <w:r>
        <w:rPr>
          <w:rFonts w:ascii="Arial" w:cs="Arial" w:eastAsia="Arial" w:hAnsi="Arial"/>
          <w:color w:val="111827"/>
          <w:sz w:val="22"/>
          <w:szCs w:val="22"/>
        </w:rPr>
        <w:t xml:space="preserve">Platform live at www.praeto.co.za with all three components — Target: July 2026</w:t>
      </w:r>
    </w:p>
    <w:p>
      <w:pPr>
        <w:pStyle w:val="ListParagraph"/>
        <w:numPr>
          <w:ilvl w:val="0"/>
          <w:numId w:val="3"/>
        </w:numPr>
        <w:spacing w:after="40" w:before="40"/>
      </w:pPr>
      <w:r>
        <w:rPr>
          <w:rFonts w:ascii="Arial" w:cs="Arial" w:eastAsia="Arial" w:hAnsi="Arial"/>
          <w:color w:val="111827"/>
          <w:sz w:val="22"/>
          <w:szCs w:val="22"/>
        </w:rPr>
        <w:t xml:space="preserve">First 5 beta members onboarded and testimonials collected — Target: August 2026</w:t>
      </w:r>
    </w:p>
    <w:p>
      <w:pPr>
        <w:pStyle w:val="ListParagraph"/>
        <w:numPr>
          <w:ilvl w:val="0"/>
          <w:numId w:val="3"/>
        </w:numPr>
        <w:spacing w:after="40" w:before="40"/>
      </w:pPr>
      <w:r>
        <w:rPr>
          <w:rFonts w:ascii="Arial" w:cs="Arial" w:eastAsia="Arial" w:hAnsi="Arial"/>
          <w:color w:val="111827"/>
          <w:sz w:val="22"/>
          <w:szCs w:val="22"/>
        </w:rPr>
        <w:t xml:space="preserve">Break-even achieved (14 members, R35,000 MRR) — Target: August 2026</w:t>
      </w:r>
    </w:p>
    <w:p>
      <w:pPr>
        <w:pStyle w:val="ListParagraph"/>
        <w:numPr>
          <w:ilvl w:val="0"/>
          <w:numId w:val="3"/>
        </w:numPr>
        <w:spacing w:after="40" w:before="40"/>
      </w:pPr>
      <w:r>
        <w:rPr>
          <w:rFonts w:ascii="Arial" w:cs="Arial" w:eastAsia="Arial" w:hAnsi="Arial"/>
          <w:color w:val="111827"/>
          <w:sz w:val="22"/>
          <w:szCs w:val="22"/>
        </w:rPr>
        <w:t xml:space="preserve">Inaugural Praeto Compliance Summit, Durban ICC — Target: 18 September 2026</w:t>
      </w:r>
    </w:p>
    <w:p>
      <w:pPr>
        <w:pStyle w:val="ListParagraph"/>
        <w:numPr>
          <w:ilvl w:val="0"/>
          <w:numId w:val="3"/>
        </w:numPr>
        <w:spacing w:after="40" w:before="40"/>
      </w:pPr>
      <w:r>
        <w:rPr>
          <w:rFonts w:ascii="Arial" w:cs="Arial" w:eastAsia="Arial" w:hAnsi="Arial"/>
          <w:color w:val="111827"/>
          <w:sz w:val="22"/>
          <w:szCs w:val="22"/>
        </w:rPr>
        <w:t xml:space="preserve">Elite KI Circle fully subscribed (30 members) — Target: October 2026</w:t>
      </w:r>
    </w:p>
    <w:p>
      <w:pPr>
        <w:pStyle w:val="ListParagraph"/>
        <w:numPr>
          <w:ilvl w:val="0"/>
          <w:numId w:val="3"/>
        </w:numPr>
        <w:spacing w:after="40" w:before="40"/>
      </w:pPr>
      <w:r>
        <w:rPr>
          <w:rFonts w:ascii="Arial" w:cs="Arial" w:eastAsia="Arial" w:hAnsi="Arial"/>
          <w:color w:val="111827"/>
          <w:sz w:val="22"/>
          <w:szCs w:val="22"/>
        </w:rPr>
        <w:t xml:space="preserve">R1,000,000 MRR milestone — Target: December 2026</w:t>
      </w:r>
    </w:p>
    <w:p>
      <w:pPr>
        <w:pStyle w:val="ListParagraph"/>
        <w:numPr>
          <w:ilvl w:val="0"/>
          <w:numId w:val="3"/>
        </w:numPr>
        <w:spacing w:after="40" w:before="40"/>
      </w:pPr>
      <w:r>
        <w:rPr>
          <w:rFonts w:ascii="Arial" w:cs="Arial" w:eastAsia="Arial" w:hAnsi="Arial"/>
          <w:color w:val="111827"/>
          <w:sz w:val="22"/>
          <w:szCs w:val="22"/>
        </w:rPr>
        <w:t xml:space="preserve">National coverage: Gauteng and Western Cape active channels — Target: Q1 2027</w:t>
      </w:r>
    </w:p>
    <w:p>
      <w:pPr>
        <w:pStyle w:val="ListParagraph"/>
        <w:numPr>
          <w:ilvl w:val="0"/>
          <w:numId w:val="3"/>
        </w:numPr>
        <w:spacing w:after="40" w:before="40"/>
      </w:pPr>
      <w:r>
        <w:rPr>
          <w:rFonts w:ascii="Arial" w:cs="Arial" w:eastAsia="Arial" w:hAnsi="Arial"/>
          <w:color w:val="111827"/>
          <w:sz w:val="22"/>
          <w:szCs w:val="22"/>
        </w:rPr>
        <w:t xml:space="preserve">R18,000,000 annual revenue run-rate — Target: June 2027</w:t>
      </w:r>
    </w:p>
    <w:p>
      <w:pPr>
        <w:pStyle w:val="ListParagraph"/>
        <w:numPr>
          <w:ilvl w:val="0"/>
          <w:numId w:val="3"/>
        </w:numPr>
        <w:spacing w:after="40" w:before="40"/>
      </w:pPr>
      <w:r>
        <w:rPr>
          <w:rFonts w:ascii="Arial" w:cs="Arial" w:eastAsia="Arial" w:hAnsi="Arial"/>
          <w:color w:val="111827"/>
          <w:sz w:val="22"/>
          <w:szCs w:val="22"/>
        </w:rPr>
        <w:t xml:space="preserve">Second annual summit (Johannesburg or Cape Town) — Target: Q3 2027</w:t>
      </w:r>
    </w:p>
    <w:p>
      <w:pPr>
        <w:pStyle w:val="ListParagraph"/>
        <w:numPr>
          <w:ilvl w:val="0"/>
          <w:numId w:val="3"/>
        </w:numPr>
        <w:spacing w:after="40" w:before="40"/>
      </w:pPr>
      <w:r>
        <w:rPr>
          <w:rFonts w:ascii="Arial" w:cs="Arial" w:eastAsia="Arial" w:hAnsi="Arial"/>
          <w:color w:val="111827"/>
          <w:sz w:val="22"/>
          <w:szCs w:val="22"/>
        </w:rPr>
        <w:t xml:space="preserve">USD $1,000,000 equivalent annual revenue — Target: December 2027</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11.  Integration with Praeto Group Holdings</w:t>
      </w:r>
    </w:p>
    <w:p>
      <w:pPr>
        <w:spacing w:after="120" w:before="0" w:line="276"/>
        <w:jc w:val="both"/>
      </w:pPr>
      <w:r>
        <w:rPr>
          <w:rFonts w:ascii="Arial" w:cs="Arial" w:eastAsia="Arial" w:hAnsi="Arial"/>
          <w:color w:val="111827"/>
          <w:sz w:val="22"/>
          <w:szCs w:val="22"/>
        </w:rPr>
        <w:t xml:space="preserve">The Praeto Compliance Club is not a standalone venture. It is the monetisation layer of an existing group of licensed, credentialed, operational businesses. Each group entity contributes to and benefits from the platform:</w:t>
      </w:r>
    </w:p>
    <w:p>
      <w:pPr>
        <w:spacing w:after="0" w:before="0" w:lin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Entity</w:t>
            </w:r>
          </w:p>
        </w:tc>
        <w:tc>
          <w:tcPr>
            <w:tcW w:type="dxa" w:w="311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Contribution to Platform</w:t>
            </w:r>
          </w:p>
        </w:tc>
        <w:tc>
          <w:tcPr>
            <w:tcW w:type="dxa" w:w="3113"/>
            <w:tcBorders>
              <w:top w:val="single" w:color="D5D0C8" w:sz="4"/>
              <w:left w:val="single" w:color="D5D0C8" w:sz="4"/>
              <w:bottom w:val="single" w:color="D5D0C8" w:sz="4"/>
              <w:right w:val="single" w:color="D5D0C8" w:sz="4"/>
            </w:tcBorders>
            <w:shd w:fill="1F3864" w:val="clear"/>
            <w:tcMar>
              <w:top w:type="dxa" w:w="80"/>
              <w:left w:type="dxa" w:w="120"/>
              <w:bottom w:type="dxa" w:w="80"/>
              <w:right w:type="dxa" w:w="120"/>
            </w:tcMar>
          </w:tcPr>
          <w:p>
            <w:pPr>
              <w:jc w:val="left"/>
            </w:pPr>
            <w:r>
              <w:rPr>
                <w:rFonts w:ascii="Arial" w:cs="Arial" w:eastAsia="Arial" w:hAnsi="Arial"/>
                <w:b/>
                <w:bCs/>
                <w:color w:val="C9A84C"/>
                <w:sz w:val="18"/>
                <w:szCs w:val="18"/>
              </w:rPr>
              <w:t xml:space="preserve">Benefit from Platform</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Praeto Risk &amp; Insurance (FSP 1457)</w:t>
            </w:r>
          </w:p>
        </w:tc>
        <w:tc>
          <w:tcPr>
            <w:tcW w:type="dxa" w:w="31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Regulatory authority; template production; KI credibility; FSCA alert sourcing</w:t>
            </w:r>
          </w:p>
        </w:tc>
        <w:tc>
          <w:tcPr>
            <w:tcW w:type="dxa" w:w="31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Cross-sale opportunities to members; enhanced brand authority</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Tiespro Training Institute (TETA 06-157)</w:t>
            </w:r>
          </w:p>
        </w:tc>
        <w:tc>
          <w:tcPr>
            <w:tcW w:type="dxa" w:w="31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CPD module production; FSCA-recognised certificates; assessor/moderator resource</w:t>
            </w:r>
          </w:p>
        </w:tc>
        <w:tc>
          <w:tcPr>
            <w:tcW w:type="dxa" w:w="31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Increased learnership pipeline; new revenue from member CPD enrolments</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Praeto Trading CC</w:t>
            </w:r>
          </w:p>
        </w:tc>
        <w:tc>
          <w:tcPr>
            <w:tcW w:type="dxa" w:w="31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Operating entity for membership revenue; existing banking and compliance infrastructure</w:t>
            </w:r>
          </w:p>
        </w:tc>
        <w:tc>
          <w:tcPr>
            <w:tcW w:type="dxa" w:w="31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Primary revenue beneficiary; group MRR growth</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Stella at Glenwood</w:t>
            </w:r>
          </w:p>
        </w:tc>
        <w:tc>
          <w:tcPr>
            <w:tcW w:type="dxa" w:w="31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Summit venue (preferred) for Durban events; hospitality and catering capability</w:t>
            </w:r>
          </w:p>
        </w:tc>
        <w:tc>
          <w:tcPr>
            <w:tcW w:type="dxa" w:w="31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Event revenue; brand exposure to 200+ FSP delegates per summit</w:t>
            </w:r>
          </w:p>
        </w:tc>
      </w:tr>
      <w:tr>
        <w:tc>
          <w:tcPr>
            <w:tcW w:type="dxa" w:w="2800"/>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bCs/>
                <w:color w:val="1F3864"/>
                <w:sz w:val="20"/>
                <w:szCs w:val="20"/>
              </w:rPr>
              <w:t xml:space="preserve">Pretorius Family Trust</w:t>
            </w:r>
          </w:p>
        </w:tc>
        <w:tc>
          <w:tcPr>
            <w:tcW w:type="dxa" w:w="31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Governance framework; capital buffer if required</w:t>
            </w:r>
          </w:p>
        </w:tc>
        <w:tc>
          <w:tcPr>
            <w:tcW w:type="dxa" w:w="3113"/>
            <w:tcBorders>
              <w:top w:val="single" w:color="D5D0C8" w:sz="4"/>
              <w:left w:val="single" w:color="D5D0C8" w:sz="4"/>
              <w:bottom w:val="single" w:color="D5D0C8" w:sz="4"/>
              <w:right w:val="single" w:color="D5D0C8" w:sz="4"/>
            </w:tcBorders>
            <w:shd w:fill="F3F1EC"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Long-term asset value from platform IP and member database</w:t>
            </w:r>
          </w:p>
        </w:tc>
      </w:tr>
      <w:tr>
        <w:tc>
          <w:tcPr>
            <w:tcW w:type="dxa" w:w="2800"/>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bCs/>
                <w:color w:val="1F3864"/>
                <w:sz w:val="20"/>
                <w:szCs w:val="20"/>
              </w:rPr>
              <w:t xml:space="preserve">eThekwini City FC</w:t>
            </w:r>
          </w:p>
        </w:tc>
        <w:tc>
          <w:tcPr>
            <w:tcW w:type="dxa" w:w="31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20"/>
                <w:szCs w:val="20"/>
              </w:rPr>
              <w:t xml:space="preserve">Community credibility; brand visibility in KZN</w:t>
            </w:r>
          </w:p>
        </w:tc>
        <w:tc>
          <w:tcPr>
            <w:tcW w:type="dxa" w:w="3113"/>
            <w:tcBorders>
              <w:top w:val="single" w:color="D5D0C8" w:sz="4"/>
              <w:left w:val="single" w:color="D5D0C8" w:sz="4"/>
              <w:bottom w:val="single" w:color="D5D0C8" w:sz="4"/>
              <w:right w:val="single" w:color="D5D0C8" w:sz="4"/>
            </w:tcBorders>
            <w:shd w:fill="FFFFFF" w:val="clear"/>
            <w:tcMar>
              <w:top w:type="dxa" w:w="80"/>
              <w:left w:type="dxa" w:w="120"/>
              <w:bottom w:type="dxa" w:w="80"/>
              <w:right w:type="dxa" w:w="120"/>
            </w:tcMar>
          </w:tcPr>
          <w:p>
            <w:pPr>
              <w:jc w:val="left"/>
            </w:pPr>
            <w:r>
              <w:rPr>
                <w:rFonts w:ascii="Arial" w:cs="Arial" w:eastAsia="Arial" w:hAnsi="Arial"/>
                <w:b w:val="false"/>
                <w:bCs w:val="false"/>
                <w:color w:val="166534"/>
                <w:sz w:val="20"/>
                <w:szCs w:val="20"/>
              </w:rPr>
              <w:t xml:space="preserve">Indirect — brand building and sponsorship leverage</w:t>
            </w:r>
          </w:p>
        </w:tc>
      </w:tr>
    </w:tbl>
    <w:p>
      <w:pPr>
        <w:spacing w:after="0" w:before="0" w:line="320"/>
      </w:pPr>
      <w:r>
        <w:t xml:space="preserve"/>
      </w:r>
    </w:p>
    <w:p>
      <w:pPr>
        <w:pStyle w:val="Heading2"/>
        <w:spacing w:after="80" w:before="300"/>
      </w:pPr>
      <w:r>
        <w:rPr>
          <w:rFonts w:ascii="Arial" w:cs="Arial" w:eastAsia="Arial" w:hAnsi="Arial"/>
          <w:b/>
          <w:bCs/>
          <w:color w:val="1F3864"/>
          <w:sz w:val="26"/>
          <w:szCs w:val="26"/>
        </w:rPr>
        <w:t xml:space="preserve">11.1  The Flywheel Effect</w:t>
      </w:r>
    </w:p>
    <w:p>
      <w:pPr>
        <w:spacing w:after="120" w:before="0" w:line="276"/>
        <w:jc w:val="both"/>
      </w:pPr>
      <w:r>
        <w:rPr>
          <w:rFonts w:ascii="Arial" w:cs="Arial" w:eastAsia="Arial" w:hAnsi="Arial"/>
          <w:color w:val="111827"/>
          <w:sz w:val="22"/>
          <w:szCs w:val="22"/>
        </w:rPr>
        <w:t xml:space="preserve">Each element of the Praeto Group reinforces the others. A member who joins the Praeto Compliance Club becomes a prospect for Tiespro learnership programmes (for their staff), a potential insurance client for Praeto Risk, a prospective event guest at Stella at Glenwood, and an ambassador in the broader KZN FSP community where eThekwini City FC and WAAG give Berkeley disproportionate visibility relative to a pure commercial operator.</w:t>
      </w:r>
    </w:p>
    <w:p>
      <w:pPr>
        <w:spacing w:after="120" w:before="0" w:line="276"/>
        <w:jc w:val="both"/>
      </w:pPr>
      <w:r>
        <w:rPr>
          <w:rFonts w:ascii="Arial" w:cs="Arial" w:eastAsia="Arial" w:hAnsi="Arial"/>
          <w:color w:val="111827"/>
          <w:sz w:val="22"/>
          <w:szCs w:val="22"/>
        </w:rPr>
        <w:t xml:space="preserve">This flywheel is the true competitive advantage. It cannot be bought or copied by a firm entering the compliance membership market without the same 38-year community presence, regulatory credentialing, and multi-entity infrastructure.</w:t>
      </w:r>
    </w:p>
    <w:p>
      <w:r>
        <w:br w:type="page"/>
      </w:r>
    </w:p>
    <w:p>
      <w:pPr>
        <w:pStyle w:val="Heading1"/>
        <w:pBdr>
          <w:bottom w:val="single" w:color="C9A84C" w:sz="12" w:space="4"/>
        </w:pBdr>
        <w:spacing w:after="120" w:before="480"/>
      </w:pPr>
      <w:r>
        <w:rPr>
          <w:rFonts w:ascii="Arial" w:cs="Arial" w:eastAsia="Arial" w:hAnsi="Arial"/>
          <w:b/>
          <w:bCs/>
          <w:color w:val="1F3864"/>
          <w:sz w:val="36"/>
          <w:szCs w:val="36"/>
        </w:rPr>
        <w:t xml:space="preserve">12.  Conclusion</w:t>
      </w:r>
    </w:p>
    <w:p>
      <w:pPr>
        <w:spacing w:after="120" w:before="0" w:line="276"/>
        <w:jc w:val="both"/>
      </w:pPr>
      <w:r>
        <w:rPr>
          <w:rFonts w:ascii="Arial" w:cs="Arial" w:eastAsia="Arial" w:hAnsi="Arial"/>
          <w:color w:val="111827"/>
          <w:sz w:val="22"/>
          <w:szCs w:val="22"/>
        </w:rPr>
        <w:t xml:space="preserve">The Praeto Compliance Club represents the single highest-leverage commercial opportunity available to Berkeley Pretorius and Praeto Group Holdings in 2026. It requires no new capital, no new licences, no new credentials, and no new staff at launch. It converts assets — regulatory authority, expertise, content, and community — that have been built over 38 years and are currently generating zero recurring revenue, into a subscription product with R18,000,000+ annual revenue potential within 12 months.</w:t>
      </w:r>
    </w:p>
    <w:p>
      <w:pPr>
        <w:spacing w:after="120" w:before="0" w:line="276"/>
        <w:jc w:val="both"/>
      </w:pPr>
      <w:r>
        <w:rPr>
          <w:rFonts w:ascii="Arial" w:cs="Arial" w:eastAsia="Arial" w:hAnsi="Arial"/>
          <w:color w:val="111827"/>
          <w:sz w:val="22"/>
          <w:szCs w:val="22"/>
        </w:rPr>
        <w:t xml:space="preserve">The platform is built. The domain is configured. The product is designed. The market is ready — and, because the FSCA has dramatically increased sanctions activity in 2026, it is more motivated than at any point in the history of South African financial services regulation.</w:t>
      </w:r>
    </w:p>
    <w:p>
      <w:pPr>
        <w:spacing w:after="120" w:before="0" w:line="276"/>
        <w:jc w:val="both"/>
      </w:pPr>
      <w:r>
        <w:rPr>
          <w:rFonts w:ascii="Arial" w:cs="Arial" w:eastAsia="Arial" w:hAnsi="Arial"/>
          <w:color w:val="111827"/>
          <w:sz w:val="22"/>
          <w:szCs w:val="22"/>
        </w:rPr>
        <w:t xml:space="preserve">The only variable is execution. This business plan provides the framework. The 90-day launch plan provides the daily actions. The financial model provides the targets. What follows is the most straightforward path from Berkeley Pretorius's current position to USD $1,000,000 annual revenue: turn on the platform, make 10 contacts per day, produce one piece of content per day, and let 38 years of credibility do the rest.</w:t>
      </w:r>
    </w:p>
    <w:p>
      <w:pPr>
        <w:spacing w:after="0" w:before="0" w:lin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84C" w:sz="12"/>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bCs/>
                <w:color w:val="1F3864"/>
                <w:sz w:val="18"/>
                <w:szCs w:val="18"/>
              </w:rPr>
              <w:t xml:space="preserve">THE BOTTOM LINE</w:t>
            </w:r>
          </w:p>
        </w:tc>
      </w:tr>
      <w:tr>
        <w:tc>
          <w:tcPr>
            <w:tcW w:type="dxa" w:w="9026"/>
            <w:tcBorders>
              <w:top w:val="none" w:color="FFFFFF" w:sz="0"/>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val="false"/>
                <w:bCs w:val="false"/>
                <w:color w:val="111827"/>
                <w:sz w:val="22"/>
                <w:szCs w:val="22"/>
              </w:rPr>
              <w:t xml:space="preserve">R2,500/month membership. R487,000 average FSCA fine. Every South African FSP already knows which side of that equation they want to be on. Praeto Compliance Club simply makes it easy for them to choose correctly.</w:t>
            </w:r>
          </w:p>
        </w:tc>
      </w:tr>
      <w:tr>
        <w:tc>
          <w:tcPr>
            <w:tcW w:type="dxa" w:w="9026"/>
            <w:tcBorders>
              <w:top w:val="none" w:color="FFFFFF" w:sz="0"/>
              <w:left w:val="single" w:color="C9A84C" w:sz="12"/>
              <w:bottom w:val="none" w:color="FFFFFF" w:sz="0"/>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val="false"/>
                <w:bCs w:val="false"/>
                <w:color w:val="111827"/>
                <w:sz w:val="12"/>
                <w:szCs w:val="12"/>
              </w:rPr>
              <w:t xml:space="preserve"/>
            </w:r>
          </w:p>
        </w:tc>
      </w:tr>
      <w:tr>
        <w:tc>
          <w:tcPr>
            <w:tcW w:type="dxa" w:w="9026"/>
            <w:tcBorders>
              <w:top w:val="none" w:color="FFFFFF" w:sz="0"/>
              <w:left w:val="single" w:color="C9A84C" w:sz="12"/>
              <w:bottom w:val="single" w:color="C9A84C" w:sz="12"/>
              <w:right w:val="none" w:color="FFFFFF" w:sz="0"/>
            </w:tcBorders>
            <w:shd w:fill="F7EDD0" w:val="clear"/>
            <w:tcMar>
              <w:top w:type="dxa" w:w="80"/>
              <w:left w:type="dxa" w:w="160"/>
              <w:bottom w:type="dxa" w:w="40"/>
              <w:right w:type="dxa" w:w="80"/>
            </w:tcMar>
          </w:tcPr>
          <w:p>
            <w:pPr>
              <w:spacing w:after="60" w:before="0"/>
            </w:pPr>
            <w:r>
              <w:rPr>
                <w:rFonts w:ascii="Arial" w:cs="Arial" w:eastAsia="Arial" w:hAnsi="Arial"/>
                <w:b/>
                <w:bCs/>
                <w:color w:val="1F3864"/>
                <w:sz w:val="22"/>
                <w:szCs w:val="22"/>
              </w:rPr>
              <w:t xml:space="preserve">Target: USD $1,000,000 (R18.5M) by December 2027. Path: clear. Platform: live. Execution: starts now.</w:t>
            </w:r>
          </w:p>
        </w:tc>
      </w:tr>
    </w:tbl>
    <w:p>
      <w:pPr>
        <w:spacing w:after="0" w:before="0" w:line="480"/>
      </w:pPr>
      <w:r>
        <w:t xml:space="preserve"/>
      </w:r>
    </w:p>
    <w:p>
      <w:pPr>
        <w:pBdr>
          <w:bottom w:val="single" w:color="C9A84C" w:sz="16" w:space="1"/>
        </w:pBdr>
        <w:spacing w:after="120" w:before="0"/>
      </w:pPr>
      <w:r>
        <w:t xml:space="preserve"/>
      </w:r>
    </w:p>
    <w:p>
      <w:pPr>
        <w:spacing w:after="0" w:before="0" w:line="240"/>
      </w:pPr>
      <w:r>
        <w:t xml:space="preserve"/>
      </w:r>
    </w:p>
    <w:p>
      <w:pPr>
        <w:spacing w:after="80" w:before="0"/>
        <w:jc w:val="center"/>
      </w:pPr>
      <w:r>
        <w:rPr>
          <w:rFonts w:ascii="Arial" w:cs="Arial" w:eastAsia="Arial" w:hAnsi="Arial"/>
          <w:b/>
          <w:bCs/>
          <w:color w:val="1F3864"/>
          <w:sz w:val="20"/>
          <w:szCs w:val="20"/>
        </w:rPr>
        <w:t xml:space="preserve">Berkeley Eldred Pretorius  ·  </w:t>
      </w:r>
      <w:r>
        <w:rPr>
          <w:rFonts w:ascii="Arial" w:cs="Arial" w:eastAsia="Arial" w:hAnsi="Arial"/>
          <w:color w:val="6B7280"/>
          <w:sz w:val="20"/>
          <w:szCs w:val="20"/>
        </w:rPr>
        <w:t xml:space="preserve">Founder &amp; CEO, Praeto Group Holdings  ·  FSP 1457  ·  </w:t>
      </w:r>
      <w:r>
        <w:rPr>
          <w:rFonts w:ascii="Arial" w:cs="Arial" w:eastAsia="Arial" w:hAnsi="Arial"/>
          <w:b/>
          <w:bCs/>
          <w:color w:val="1F3864"/>
          <w:sz w:val="20"/>
          <w:szCs w:val="20"/>
        </w:rPr>
        <w:t xml:space="preserve">www.praeto.co.za</w:t>
      </w:r>
    </w:p>
    <w:p>
      <w:pPr>
        <w:spacing w:after="0" w:before="0"/>
        <w:jc w:val="center"/>
      </w:pPr>
      <w:r>
        <w:rPr>
          <w:rFonts w:ascii="Arial" w:cs="Arial" w:eastAsia="Arial" w:hAnsi="Arial"/>
          <w:color w:val="6B7280"/>
          <w:sz w:val="18"/>
          <w:szCs w:val="18"/>
        </w:rPr>
        <w:t xml:space="preserve">RE1  ·  RE5  ·  Registered Assessor  ·  Registered Moderator  ·  SDF  ·  NCRDC  ·  38 Years Active FSP Practice</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0C8" w:sz="4" w:space="4"/>
      </w:pBdr>
      <w:spacing w:before="80"/>
      <w:jc w:val="center"/>
    </w:pPr>
    <w:r>
      <w:rPr>
        <w:rFonts w:ascii="Arial" w:cs="Arial" w:eastAsia="Arial" w:hAnsi="Arial"/>
        <w:color w:val="6B7280"/>
        <w:sz w:val="16"/>
        <w:szCs w:val="16"/>
      </w:rPr>
      <w:t xml:space="preserve">Praeto Group Holdings  ·  www.praeto.co.za  ·  Page </w:t>
    </w:r>
    <w:fldSimple w:instr="PAGE"/>
    <w:r>
      <w:rPr>
        <w:rFonts w:ascii="Arial" w:cs="Arial" w:eastAsia="Arial" w:hAnsi="Arial"/>
        <w:color w:val="6B7280"/>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single" w:color="C9A84C" w:sz="8"/>
            <w:right w:val="none" w:color="FFFFFF" w:sz="0"/>
          </w:tcBorders>
        </w:tcPr>
        <w:p>
          <w:pPr>
            <w:spacing w:after="60" w:before="0"/>
          </w:pPr>
          <w:r>
            <w:rPr>
              <w:rFonts w:ascii="Arial" w:cs="Arial" w:eastAsia="Arial" w:hAnsi="Arial"/>
              <w:b/>
              <w:bCs/>
              <w:color w:val="1F3864"/>
              <w:spacing w:val="150"/>
              <w:sz w:val="16"/>
              <w:szCs w:val="16"/>
            </w:rPr>
            <w:t xml:space="preserve">PRAETO COMPLIANCE CLUB</w:t>
          </w:r>
        </w:p>
      </w:tc>
      <w:tc>
        <w:tcPr>
          <w:tcW w:type="dxa" w:w="4513"/>
          <w:tcBorders>
            <w:top w:val="none" w:color="FFFFFF" w:sz="0"/>
            <w:left w:val="none" w:color="FFFFFF" w:sz="0"/>
            <w:bottom w:val="single" w:color="C9A84C" w:sz="8"/>
            <w:right w:val="none" w:color="FFFFFF" w:sz="0"/>
          </w:tcBorders>
        </w:tcPr>
        <w:p>
          <w:pPr>
            <w:spacing w:after="60" w:before="0"/>
            <w:jc w:val="right"/>
          </w:pPr>
          <w:r>
            <w:rPr>
              <w:rFonts w:ascii="Arial" w:cs="Arial" w:eastAsia="Arial" w:hAnsi="Arial"/>
              <w:color w:val="6B7280"/>
              <w:sz w:val="16"/>
              <w:szCs w:val="16"/>
            </w:rPr>
            <w:t xml:space="preserve">Business Plan 2026  ·  FSP 1457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C9A84C"/>
      </w:rPr>
    </w:lvl>
    <w:lvl w:ilvl="1" w15:tentative="1">
      <w:start w:val="1"/>
      <w:numFmt w:val="bullet"/>
      <w:lvlText w:val="◦"/>
      <w:lvlJc w:val="left"/>
      <w:pPr>
        <w:ind w:left="1120" w:hanging="280"/>
      </w:pPr>
      <w:rPr>
        <w:rFonts w:ascii="Arial" w:cs="Arial" w:eastAsia="Arial" w:hAnsi="Arial"/>
        <w:color w:val="6B728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300"/>
      <w:outlineLvl w:val="1"/>
    </w:pPr>
    <w:rPr>
      <w:rFonts w:ascii="Arial" w:cs="Arial" w:eastAsia="Arial" w:hAnsi="Arial"/>
      <w:b/>
      <w:bCs/>
      <w:color w:val="1F386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Praeto Compliance Club — Business Plan 2026</dc:title>
  <dc:creator>Berkeley Pretorius — Praeto Group Holdings</dc:creator>
  <dc:description>Full business plan for the Praeto Compliance Club FSP membership platform</dc:description>
  <cp:lastModifiedBy>Un-named</cp:lastModifiedBy>
  <cp:revision>1</cp:revision>
  <dcterms:created xsi:type="dcterms:W3CDTF">2026-06-20T09:05:00.745Z</dcterms:created>
  <dcterms:modified xsi:type="dcterms:W3CDTF">2026-06-20T09:05:00.745Z</dcterms:modified>
</cp:coreProperties>
</file>

<file path=docProps/custom.xml><?xml version="1.0" encoding="utf-8"?>
<Properties xmlns="http://schemas.openxmlformats.org/officeDocument/2006/custom-properties" xmlns:vt="http://schemas.openxmlformats.org/officeDocument/2006/docPropsVTypes"/>
</file>